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B989E7A">
      <w:pPr>
        <w:pStyle w:val="13"/>
        <w:ind w:firstLine="3840" w:firstLineChars="1200"/>
        <w:jc w:val="both"/>
        <w:rPr>
          <w:rFonts w:ascii="黑体" w:hAnsi="黑体" w:eastAsia="黑体"/>
          <w:b w:val="0"/>
        </w:rPr>
      </w:pPr>
      <w:bookmarkStart w:id="0" w:name="_Toc197201563"/>
      <w:r>
        <w:rPr>
          <w:rFonts w:hint="eastAsia" w:ascii="黑体" w:hAnsi="黑体" w:eastAsia="黑体"/>
          <w:b w:val="0"/>
        </w:rPr>
        <w:t>摘</w:t>
      </w:r>
      <w:r>
        <w:rPr>
          <w:rFonts w:ascii="黑体" w:hAnsi="黑体" w:eastAsia="黑体"/>
          <w:b w:val="0"/>
        </w:rPr>
        <w:t xml:space="preserve">  </w:t>
      </w:r>
      <w:r>
        <w:rPr>
          <w:rFonts w:hint="eastAsia" w:ascii="黑体" w:hAnsi="黑体" w:eastAsia="黑体"/>
          <w:b w:val="0"/>
        </w:rPr>
        <w:t>要</w:t>
      </w:r>
      <w:bookmarkEnd w:id="0"/>
    </w:p>
    <w:p w14:paraId="10DA05E3">
      <w:pPr>
        <w:spacing w:line="300" w:lineRule="auto"/>
        <w:ind w:firstLine="480" w:firstLineChars="200"/>
        <w:rPr>
          <w:rFonts w:asciiTheme="minorEastAsia" w:hAnsiTheme="minorEastAsia"/>
          <w:sz w:val="24"/>
        </w:rPr>
      </w:pPr>
      <w:r>
        <w:rPr>
          <w:rFonts w:asciiTheme="minorEastAsia" w:hAnsiTheme="minorEastAsia"/>
          <w:sz w:val="24"/>
        </w:rPr>
        <w:t>随着电商物流行业的高速发展，仓储虫害防治成为保障商品质量与供应链稳定的关键环节。针对京东仓库因规模庞大、存储品类复杂导致的虫害风险，本研究构建了集环境治理、技术应用与管理体系优化为一体的系统性防治方案。首先通过分析蟑螂、褐家鼠、玉米象等主要害虫的滋生环境与危害，揭示温湿度控制不当、入库检验疏漏、技术监测滞后等核心问题；继而提出"预防为主"的环境治理策略，包括清洁卫生标准化、智能温湿度调控；设计多技术融合的治理方案，涵盖物理防治（智能诱虫灯、超声波驱鼠器）、化学防治（低毒熏蒸剂）、生物防治（天敌引入）及数字化监测系统（AI虫害识别、区块链溯源）；同步优化管理体系，建立分级责任制、定期培训机制与三级应急响应流程。通过广州仓虫害事件与上海生鲜仓消杀项目的对比案例，验证方案的有效性与可操作性。研究表明，该三维防治体系可显著降低虫害发生率，提升仓储运营安全性与客户满意</w:t>
      </w:r>
      <w:bookmarkStart w:id="49" w:name="_GoBack"/>
      <w:bookmarkEnd w:id="49"/>
      <w:r>
        <w:rPr>
          <w:rFonts w:asciiTheme="minorEastAsia" w:hAnsiTheme="minorEastAsia"/>
          <w:sz w:val="24"/>
        </w:rPr>
        <w:t>度，为智慧物流仓储虫害防控提供理论与实践参考。</w:t>
      </w:r>
    </w:p>
    <w:p w14:paraId="57B82151">
      <w:pPr>
        <w:widowControl/>
        <w:spacing w:line="300" w:lineRule="auto"/>
        <w:ind w:firstLine="200"/>
        <w:rPr>
          <w:rFonts w:cs="宋体" w:asciiTheme="minorEastAsia" w:hAnsiTheme="minorEastAsia"/>
          <w:color w:val="000000"/>
          <w:kern w:val="0"/>
          <w:sz w:val="24"/>
        </w:rPr>
      </w:pPr>
      <w:r>
        <w:rPr>
          <w:rFonts w:ascii="黑体" w:hAnsi="黑体" w:eastAsia="黑体" w:cs="黑体"/>
          <w:sz w:val="24"/>
        </w:rPr>
        <w:t>关键词</w:t>
      </w:r>
      <w:r>
        <w:rPr>
          <w:rFonts w:ascii="黑体" w:hAnsi="黑体" w:eastAsia="黑体"/>
          <w:sz w:val="24"/>
        </w:rPr>
        <w:t>：</w:t>
      </w:r>
      <w:r>
        <w:rPr>
          <w:rFonts w:asciiTheme="minorEastAsia" w:hAnsiTheme="minorEastAsia"/>
          <w:sz w:val="24"/>
        </w:rPr>
        <w:t>京东仓库；虫害防治；环境治理；智能监测；管理体系</w:t>
      </w:r>
    </w:p>
    <w:p w14:paraId="56F14765">
      <w:pPr>
        <w:widowControl/>
        <w:spacing w:before="100" w:beforeAutospacing="1" w:after="100" w:afterAutospacing="1" w:line="360" w:lineRule="auto"/>
        <w:ind w:firstLine="640"/>
        <w:jc w:val="center"/>
        <w:rPr>
          <w:rFonts w:ascii="宋体" w:hAnsi="宋体" w:eastAsia="宋体" w:cs="宋体"/>
          <w:color w:val="000000"/>
          <w:kern w:val="0"/>
          <w:sz w:val="32"/>
          <w:szCs w:val="22"/>
        </w:rPr>
      </w:pPr>
    </w:p>
    <w:p w14:paraId="435991B3">
      <w:pPr>
        <w:widowControl/>
        <w:spacing w:before="100" w:beforeAutospacing="1" w:after="100" w:afterAutospacing="1" w:line="360" w:lineRule="auto"/>
        <w:ind w:firstLine="640"/>
        <w:jc w:val="center"/>
        <w:rPr>
          <w:rFonts w:ascii="宋体" w:hAnsi="宋体" w:eastAsia="宋体" w:cs="宋体"/>
          <w:color w:val="000000"/>
          <w:kern w:val="0"/>
          <w:sz w:val="32"/>
          <w:szCs w:val="22"/>
        </w:rPr>
      </w:pPr>
    </w:p>
    <w:p w14:paraId="10A1D8BA">
      <w:pPr>
        <w:widowControl/>
        <w:spacing w:before="100" w:beforeAutospacing="1" w:after="100" w:afterAutospacing="1" w:line="360" w:lineRule="auto"/>
        <w:ind w:firstLine="640"/>
        <w:jc w:val="center"/>
        <w:rPr>
          <w:rFonts w:ascii="宋体" w:hAnsi="宋体" w:eastAsia="宋体" w:cs="宋体"/>
          <w:color w:val="000000"/>
          <w:kern w:val="0"/>
          <w:sz w:val="32"/>
          <w:szCs w:val="22"/>
        </w:rPr>
      </w:pPr>
    </w:p>
    <w:p w14:paraId="374166FF">
      <w:pPr>
        <w:widowControl/>
        <w:spacing w:before="100" w:beforeAutospacing="1" w:after="100" w:afterAutospacing="1" w:line="360" w:lineRule="auto"/>
        <w:ind w:firstLine="640"/>
        <w:jc w:val="center"/>
        <w:rPr>
          <w:rFonts w:ascii="宋体" w:hAnsi="宋体" w:eastAsia="宋体" w:cs="宋体"/>
          <w:color w:val="000000"/>
          <w:kern w:val="0"/>
          <w:sz w:val="32"/>
          <w:szCs w:val="22"/>
        </w:rPr>
      </w:pPr>
    </w:p>
    <w:p w14:paraId="75D68C64">
      <w:pPr>
        <w:widowControl/>
        <w:spacing w:before="100" w:beforeAutospacing="1" w:after="100" w:afterAutospacing="1" w:line="360" w:lineRule="auto"/>
        <w:ind w:firstLine="640"/>
        <w:jc w:val="center"/>
        <w:rPr>
          <w:rFonts w:ascii="宋体" w:hAnsi="宋体" w:eastAsia="宋体" w:cs="宋体"/>
          <w:color w:val="000000"/>
          <w:kern w:val="0"/>
          <w:sz w:val="32"/>
          <w:szCs w:val="22"/>
        </w:rPr>
      </w:pPr>
    </w:p>
    <w:p w14:paraId="22C620A7">
      <w:pPr>
        <w:widowControl/>
        <w:spacing w:before="100" w:beforeAutospacing="1" w:after="100" w:afterAutospacing="1" w:line="360" w:lineRule="auto"/>
        <w:ind w:firstLine="640"/>
        <w:jc w:val="center"/>
        <w:rPr>
          <w:rFonts w:ascii="宋体" w:hAnsi="宋体" w:eastAsia="宋体" w:cs="宋体"/>
          <w:color w:val="000000"/>
          <w:kern w:val="0"/>
          <w:sz w:val="32"/>
          <w:szCs w:val="22"/>
        </w:rPr>
      </w:pPr>
    </w:p>
    <w:p w14:paraId="6FA9AF0A">
      <w:pPr>
        <w:widowControl/>
        <w:spacing w:before="100" w:beforeAutospacing="1" w:after="100" w:afterAutospacing="1" w:line="360" w:lineRule="auto"/>
        <w:ind w:firstLine="640"/>
        <w:rPr>
          <w:rFonts w:ascii="宋体" w:hAnsi="宋体" w:eastAsia="宋体" w:cs="宋体"/>
          <w:color w:val="000000"/>
          <w:kern w:val="0"/>
          <w:sz w:val="32"/>
          <w:szCs w:val="22"/>
        </w:rPr>
        <w:sectPr>
          <w:headerReference r:id="rId3" w:type="default"/>
          <w:pgSz w:w="11906" w:h="16838"/>
          <w:pgMar w:top="1531" w:right="1417" w:bottom="1701" w:left="1701" w:header="851" w:footer="992" w:gutter="0"/>
          <w:pgNumType w:start="0"/>
          <w:cols w:space="0" w:num="1"/>
          <w:titlePg/>
          <w:docGrid w:type="lines" w:linePitch="312" w:charSpace="0"/>
        </w:sectPr>
      </w:pPr>
    </w:p>
    <w:sdt>
      <w:sdtPr>
        <w:rPr>
          <w:rFonts w:asciiTheme="minorHAnsi" w:hAnsiTheme="minorHAnsi" w:eastAsiaTheme="minorEastAsia" w:cstheme="minorBidi"/>
          <w:color w:val="auto"/>
          <w:kern w:val="2"/>
          <w:sz w:val="21"/>
          <w:szCs w:val="24"/>
          <w:lang w:val="zh-CN"/>
        </w:rPr>
        <w:id w:val="1270818307"/>
        <w:docPartObj>
          <w:docPartGallery w:val="Table of Contents"/>
          <w:docPartUnique/>
        </w:docPartObj>
      </w:sdtPr>
      <w:sdtEndPr>
        <w:rPr>
          <w:rFonts w:asciiTheme="minorHAnsi" w:hAnsiTheme="minorHAnsi" w:eastAsiaTheme="minorEastAsia" w:cstheme="minorBidi"/>
          <w:b/>
          <w:bCs/>
          <w:color w:val="auto"/>
          <w:kern w:val="2"/>
          <w:sz w:val="21"/>
          <w:szCs w:val="24"/>
          <w:lang w:val="zh-CN"/>
        </w:rPr>
      </w:sdtEndPr>
      <w:sdtContent>
        <w:p w14:paraId="6EB99290">
          <w:pPr>
            <w:pStyle w:val="29"/>
            <w:jc w:val="center"/>
            <w:rPr>
              <w:color w:val="auto"/>
            </w:rPr>
          </w:pPr>
          <w:bookmarkStart w:id="1" w:name="_Toc118985590"/>
          <w:r>
            <w:rPr>
              <w:color w:val="auto"/>
              <w:lang w:val="zh-CN"/>
            </w:rPr>
            <w:t>目录</w:t>
          </w:r>
        </w:p>
        <w:p w14:paraId="274AC77D">
          <w:pPr>
            <w:pStyle w:val="10"/>
            <w:tabs>
              <w:tab w:val="right" w:leader="dot" w:pos="8778"/>
            </w:tabs>
            <w:ind w:firstLine="442" w:firstLineChars="200"/>
            <w:rPr>
              <w:rFonts w:asciiTheme="minorEastAsia" w:hAnsiTheme="minorEastAsia" w:cstheme="minorBidi"/>
              <w:kern w:val="2"/>
              <w:sz w:val="28"/>
              <w:szCs w:val="28"/>
            </w:rPr>
          </w:pPr>
          <w:r>
            <w:rPr>
              <w:b/>
              <w:bCs/>
              <w:lang w:val="zh-CN"/>
            </w:rPr>
            <w:fldChar w:fldCharType="begin"/>
          </w:r>
          <w:r>
            <w:rPr>
              <w:b/>
              <w:bCs/>
              <w:lang w:val="zh-CN"/>
            </w:rPr>
            <w:instrText xml:space="preserve"> TOC \o "1-3" \h \z \u </w:instrText>
          </w:r>
          <w:r>
            <w:rPr>
              <w:b/>
              <w:bCs/>
              <w:lang w:val="zh-CN"/>
            </w:rPr>
            <w:fldChar w:fldCharType="separate"/>
          </w:r>
          <w:r>
            <w:fldChar w:fldCharType="begin"/>
          </w:r>
          <w:r>
            <w:instrText xml:space="preserve"> HYPERLINK \l "_Toc197201564" </w:instrText>
          </w:r>
          <w:r>
            <w:fldChar w:fldCharType="separate"/>
          </w:r>
          <w:r>
            <w:rPr>
              <w:rStyle w:val="16"/>
              <w:rFonts w:hint="eastAsia" w:asciiTheme="minorEastAsia" w:hAnsiTheme="minorEastAsia"/>
              <w:sz w:val="30"/>
              <w:szCs w:val="30"/>
            </w:rPr>
            <w:t>第一章</w:t>
          </w:r>
          <w:r>
            <w:rPr>
              <w:rStyle w:val="16"/>
              <w:rFonts w:asciiTheme="minorEastAsia" w:hAnsiTheme="minorEastAsia"/>
              <w:sz w:val="30"/>
              <w:szCs w:val="30"/>
            </w:rPr>
            <w:t xml:space="preserve">  </w:t>
          </w:r>
          <w:r>
            <w:rPr>
              <w:rStyle w:val="16"/>
              <w:rFonts w:hint="eastAsia" w:asciiTheme="minorEastAsia" w:hAnsiTheme="minorEastAsia"/>
              <w:sz w:val="30"/>
              <w:szCs w:val="30"/>
            </w:rPr>
            <w:t>绪论</w:t>
          </w:r>
          <w:r>
            <w:rPr>
              <w:rFonts w:asciiTheme="minorEastAsia" w:hAnsiTheme="minorEastAsia"/>
              <w:sz w:val="28"/>
              <w:szCs w:val="28"/>
            </w:rPr>
            <w:tab/>
          </w:r>
          <w:r>
            <w:rPr>
              <w:rFonts w:asciiTheme="minorEastAsia" w:hAnsiTheme="minorEastAsia"/>
              <w:sz w:val="28"/>
              <w:szCs w:val="28"/>
            </w:rPr>
            <w:fldChar w:fldCharType="begin"/>
          </w:r>
          <w:r>
            <w:rPr>
              <w:rFonts w:asciiTheme="minorEastAsia" w:hAnsiTheme="minorEastAsia"/>
              <w:sz w:val="28"/>
              <w:szCs w:val="28"/>
            </w:rPr>
            <w:instrText xml:space="preserve"> PAGEREF _Toc197201564 \h </w:instrText>
          </w:r>
          <w:r>
            <w:rPr>
              <w:rFonts w:asciiTheme="minorEastAsia" w:hAnsiTheme="minorEastAsia"/>
              <w:sz w:val="28"/>
              <w:szCs w:val="28"/>
            </w:rPr>
            <w:fldChar w:fldCharType="separate"/>
          </w:r>
          <w:r>
            <w:rPr>
              <w:rFonts w:asciiTheme="minorEastAsia" w:hAnsiTheme="minorEastAsia"/>
              <w:sz w:val="28"/>
              <w:szCs w:val="28"/>
            </w:rPr>
            <w:t>1</w:t>
          </w:r>
          <w:r>
            <w:rPr>
              <w:rFonts w:asciiTheme="minorEastAsia" w:hAnsiTheme="minorEastAsia"/>
              <w:sz w:val="28"/>
              <w:szCs w:val="28"/>
            </w:rPr>
            <w:fldChar w:fldCharType="end"/>
          </w:r>
          <w:r>
            <w:rPr>
              <w:rFonts w:asciiTheme="minorEastAsia" w:hAnsiTheme="minorEastAsia"/>
              <w:sz w:val="28"/>
              <w:szCs w:val="28"/>
            </w:rPr>
            <w:fldChar w:fldCharType="end"/>
          </w:r>
        </w:p>
        <w:p w14:paraId="56805893">
          <w:pPr>
            <w:pStyle w:val="11"/>
            <w:tabs>
              <w:tab w:val="right" w:leader="dot" w:pos="8778"/>
            </w:tabs>
            <w:ind w:firstLine="660" w:firstLineChars="300"/>
            <w:rPr>
              <w:rFonts w:asciiTheme="minorEastAsia" w:hAnsiTheme="minorEastAsia" w:cstheme="minorBidi"/>
              <w:kern w:val="2"/>
              <w:sz w:val="28"/>
              <w:szCs w:val="28"/>
            </w:rPr>
          </w:pPr>
          <w:r>
            <w:fldChar w:fldCharType="begin"/>
          </w:r>
          <w:r>
            <w:instrText xml:space="preserve"> HYPERLINK \l "_Toc197201565" </w:instrText>
          </w:r>
          <w:r>
            <w:fldChar w:fldCharType="separate"/>
          </w:r>
          <w:r>
            <w:rPr>
              <w:rStyle w:val="16"/>
              <w:rFonts w:asciiTheme="minorEastAsia" w:hAnsiTheme="minorEastAsia"/>
              <w:sz w:val="28"/>
              <w:szCs w:val="28"/>
            </w:rPr>
            <w:t xml:space="preserve">1.1 </w:t>
          </w:r>
          <w:r>
            <w:rPr>
              <w:rStyle w:val="16"/>
              <w:rFonts w:hint="eastAsia" w:asciiTheme="minorEastAsia" w:hAnsiTheme="minorEastAsia"/>
              <w:sz w:val="28"/>
              <w:szCs w:val="28"/>
            </w:rPr>
            <w:t>研究意义</w:t>
          </w:r>
          <w:r>
            <w:rPr>
              <w:rFonts w:asciiTheme="minorEastAsia" w:hAnsiTheme="minorEastAsia"/>
              <w:sz w:val="28"/>
              <w:szCs w:val="28"/>
            </w:rPr>
            <w:tab/>
          </w:r>
          <w:r>
            <w:rPr>
              <w:rFonts w:asciiTheme="minorEastAsia" w:hAnsiTheme="minorEastAsia"/>
              <w:sz w:val="28"/>
              <w:szCs w:val="28"/>
            </w:rPr>
            <w:fldChar w:fldCharType="begin"/>
          </w:r>
          <w:r>
            <w:rPr>
              <w:rFonts w:asciiTheme="minorEastAsia" w:hAnsiTheme="minorEastAsia"/>
              <w:sz w:val="28"/>
              <w:szCs w:val="28"/>
            </w:rPr>
            <w:instrText xml:space="preserve"> PAGEREF _Toc197201565 \h </w:instrText>
          </w:r>
          <w:r>
            <w:rPr>
              <w:rFonts w:asciiTheme="minorEastAsia" w:hAnsiTheme="minorEastAsia"/>
              <w:sz w:val="28"/>
              <w:szCs w:val="28"/>
            </w:rPr>
            <w:fldChar w:fldCharType="separate"/>
          </w:r>
          <w:r>
            <w:rPr>
              <w:rFonts w:asciiTheme="minorEastAsia" w:hAnsiTheme="minorEastAsia"/>
              <w:sz w:val="28"/>
              <w:szCs w:val="28"/>
            </w:rPr>
            <w:t>1</w:t>
          </w:r>
          <w:r>
            <w:rPr>
              <w:rFonts w:asciiTheme="minorEastAsia" w:hAnsiTheme="minorEastAsia"/>
              <w:sz w:val="28"/>
              <w:szCs w:val="28"/>
            </w:rPr>
            <w:fldChar w:fldCharType="end"/>
          </w:r>
          <w:r>
            <w:rPr>
              <w:rFonts w:asciiTheme="minorEastAsia" w:hAnsiTheme="minorEastAsia"/>
              <w:sz w:val="28"/>
              <w:szCs w:val="28"/>
            </w:rPr>
            <w:fldChar w:fldCharType="end"/>
          </w:r>
        </w:p>
        <w:p w14:paraId="33EB44E0">
          <w:pPr>
            <w:pStyle w:val="11"/>
            <w:tabs>
              <w:tab w:val="right" w:leader="dot" w:pos="8778"/>
            </w:tabs>
            <w:ind w:firstLine="660" w:firstLineChars="300"/>
            <w:rPr>
              <w:rFonts w:asciiTheme="minorEastAsia" w:hAnsiTheme="minorEastAsia" w:cstheme="minorBidi"/>
              <w:kern w:val="2"/>
              <w:sz w:val="28"/>
              <w:szCs w:val="28"/>
            </w:rPr>
          </w:pPr>
          <w:r>
            <w:fldChar w:fldCharType="begin"/>
          </w:r>
          <w:r>
            <w:instrText xml:space="preserve"> HYPERLINK \l "_Toc197201566" </w:instrText>
          </w:r>
          <w:r>
            <w:fldChar w:fldCharType="separate"/>
          </w:r>
          <w:r>
            <w:rPr>
              <w:rStyle w:val="16"/>
              <w:rFonts w:asciiTheme="minorEastAsia" w:hAnsiTheme="minorEastAsia"/>
              <w:sz w:val="28"/>
              <w:szCs w:val="28"/>
            </w:rPr>
            <w:t>1.2</w:t>
          </w:r>
          <w:r>
            <w:rPr>
              <w:rStyle w:val="16"/>
              <w:rFonts w:hint="eastAsia" w:asciiTheme="minorEastAsia" w:hAnsiTheme="minorEastAsia"/>
              <w:sz w:val="28"/>
              <w:szCs w:val="28"/>
            </w:rPr>
            <w:t>研究目标与方法</w:t>
          </w:r>
          <w:r>
            <w:rPr>
              <w:rFonts w:asciiTheme="minorEastAsia" w:hAnsiTheme="minorEastAsia"/>
              <w:sz w:val="28"/>
              <w:szCs w:val="28"/>
            </w:rPr>
            <w:tab/>
          </w:r>
          <w:r>
            <w:rPr>
              <w:rFonts w:asciiTheme="minorEastAsia" w:hAnsiTheme="minorEastAsia"/>
              <w:sz w:val="28"/>
              <w:szCs w:val="28"/>
            </w:rPr>
            <w:fldChar w:fldCharType="begin"/>
          </w:r>
          <w:r>
            <w:rPr>
              <w:rFonts w:asciiTheme="minorEastAsia" w:hAnsiTheme="minorEastAsia"/>
              <w:sz w:val="28"/>
              <w:szCs w:val="28"/>
            </w:rPr>
            <w:instrText xml:space="preserve"> PAGEREF _Toc197201566 \h </w:instrText>
          </w:r>
          <w:r>
            <w:rPr>
              <w:rFonts w:asciiTheme="minorEastAsia" w:hAnsiTheme="minorEastAsia"/>
              <w:sz w:val="28"/>
              <w:szCs w:val="28"/>
            </w:rPr>
            <w:fldChar w:fldCharType="separate"/>
          </w:r>
          <w:r>
            <w:rPr>
              <w:rFonts w:asciiTheme="minorEastAsia" w:hAnsiTheme="minorEastAsia"/>
              <w:sz w:val="28"/>
              <w:szCs w:val="28"/>
            </w:rPr>
            <w:t>1</w:t>
          </w:r>
          <w:r>
            <w:rPr>
              <w:rFonts w:asciiTheme="minorEastAsia" w:hAnsiTheme="minorEastAsia"/>
              <w:sz w:val="28"/>
              <w:szCs w:val="28"/>
            </w:rPr>
            <w:fldChar w:fldCharType="end"/>
          </w:r>
          <w:r>
            <w:rPr>
              <w:rFonts w:asciiTheme="minorEastAsia" w:hAnsiTheme="minorEastAsia"/>
              <w:sz w:val="28"/>
              <w:szCs w:val="28"/>
            </w:rPr>
            <w:fldChar w:fldCharType="end"/>
          </w:r>
        </w:p>
        <w:p w14:paraId="4EC6C836">
          <w:pPr>
            <w:pStyle w:val="10"/>
            <w:tabs>
              <w:tab w:val="right" w:leader="dot" w:pos="8778"/>
            </w:tabs>
            <w:ind w:firstLine="440" w:firstLineChars="200"/>
            <w:rPr>
              <w:rFonts w:asciiTheme="minorEastAsia" w:hAnsiTheme="minorEastAsia" w:cstheme="minorBidi"/>
              <w:kern w:val="2"/>
              <w:sz w:val="28"/>
              <w:szCs w:val="28"/>
            </w:rPr>
          </w:pPr>
          <w:r>
            <w:fldChar w:fldCharType="begin"/>
          </w:r>
          <w:r>
            <w:instrText xml:space="preserve"> HYPERLINK \l "_Toc197201567" </w:instrText>
          </w:r>
          <w:r>
            <w:fldChar w:fldCharType="separate"/>
          </w:r>
          <w:r>
            <w:rPr>
              <w:rStyle w:val="16"/>
              <w:rFonts w:hint="eastAsia" w:asciiTheme="minorEastAsia" w:hAnsiTheme="minorEastAsia"/>
              <w:sz w:val="30"/>
              <w:szCs w:val="30"/>
            </w:rPr>
            <w:t>第二章</w:t>
          </w:r>
          <w:r>
            <w:rPr>
              <w:rStyle w:val="16"/>
              <w:rFonts w:asciiTheme="minorEastAsia" w:hAnsiTheme="minorEastAsia"/>
              <w:sz w:val="30"/>
              <w:szCs w:val="30"/>
            </w:rPr>
            <w:t xml:space="preserve">  </w:t>
          </w:r>
          <w:r>
            <w:rPr>
              <w:rStyle w:val="16"/>
              <w:rFonts w:hint="eastAsia" w:asciiTheme="minorEastAsia" w:hAnsiTheme="minorEastAsia"/>
              <w:sz w:val="30"/>
              <w:szCs w:val="30"/>
            </w:rPr>
            <w:t>京东仓库虫害现状与成因分析</w:t>
          </w:r>
          <w:r>
            <w:rPr>
              <w:rFonts w:asciiTheme="minorEastAsia" w:hAnsiTheme="minorEastAsia"/>
              <w:sz w:val="28"/>
              <w:szCs w:val="28"/>
            </w:rPr>
            <w:tab/>
          </w:r>
          <w:r>
            <w:rPr>
              <w:rFonts w:asciiTheme="minorEastAsia" w:hAnsiTheme="minorEastAsia"/>
              <w:sz w:val="28"/>
              <w:szCs w:val="28"/>
            </w:rPr>
            <w:fldChar w:fldCharType="begin"/>
          </w:r>
          <w:r>
            <w:rPr>
              <w:rFonts w:asciiTheme="minorEastAsia" w:hAnsiTheme="minorEastAsia"/>
              <w:sz w:val="28"/>
              <w:szCs w:val="28"/>
            </w:rPr>
            <w:instrText xml:space="preserve"> PAGEREF _Toc197201567 \h </w:instrText>
          </w:r>
          <w:r>
            <w:rPr>
              <w:rFonts w:asciiTheme="minorEastAsia" w:hAnsiTheme="minorEastAsia"/>
              <w:sz w:val="28"/>
              <w:szCs w:val="28"/>
            </w:rPr>
            <w:fldChar w:fldCharType="separate"/>
          </w:r>
          <w:r>
            <w:rPr>
              <w:rFonts w:asciiTheme="minorEastAsia" w:hAnsiTheme="minorEastAsia"/>
              <w:sz w:val="28"/>
              <w:szCs w:val="28"/>
            </w:rPr>
            <w:t>3</w:t>
          </w:r>
          <w:r>
            <w:rPr>
              <w:rFonts w:asciiTheme="minorEastAsia" w:hAnsiTheme="minorEastAsia"/>
              <w:sz w:val="28"/>
              <w:szCs w:val="28"/>
            </w:rPr>
            <w:fldChar w:fldCharType="end"/>
          </w:r>
          <w:r>
            <w:rPr>
              <w:rFonts w:asciiTheme="minorEastAsia" w:hAnsiTheme="minorEastAsia"/>
              <w:sz w:val="28"/>
              <w:szCs w:val="28"/>
            </w:rPr>
            <w:fldChar w:fldCharType="end"/>
          </w:r>
        </w:p>
        <w:p w14:paraId="0B85CEFF">
          <w:pPr>
            <w:pStyle w:val="11"/>
            <w:tabs>
              <w:tab w:val="right" w:leader="dot" w:pos="8778"/>
            </w:tabs>
            <w:ind w:firstLine="660" w:firstLineChars="300"/>
            <w:rPr>
              <w:rFonts w:asciiTheme="minorEastAsia" w:hAnsiTheme="minorEastAsia" w:cstheme="minorBidi"/>
              <w:kern w:val="2"/>
              <w:sz w:val="28"/>
              <w:szCs w:val="28"/>
            </w:rPr>
          </w:pPr>
          <w:r>
            <w:fldChar w:fldCharType="begin"/>
          </w:r>
          <w:r>
            <w:instrText xml:space="preserve"> HYPERLINK \l "_Toc197201568" </w:instrText>
          </w:r>
          <w:r>
            <w:fldChar w:fldCharType="separate"/>
          </w:r>
          <w:r>
            <w:rPr>
              <w:rStyle w:val="16"/>
              <w:rFonts w:asciiTheme="minorEastAsia" w:hAnsiTheme="minorEastAsia"/>
              <w:sz w:val="28"/>
              <w:szCs w:val="28"/>
            </w:rPr>
            <w:t>2.1</w:t>
          </w:r>
          <w:r>
            <w:rPr>
              <w:rStyle w:val="16"/>
              <w:rFonts w:hint="eastAsia" w:asciiTheme="minorEastAsia" w:hAnsiTheme="minorEastAsia"/>
              <w:sz w:val="28"/>
              <w:szCs w:val="28"/>
            </w:rPr>
            <w:t>常见虫害种类与危害</w:t>
          </w:r>
          <w:r>
            <w:rPr>
              <w:rFonts w:asciiTheme="minorEastAsia" w:hAnsiTheme="minorEastAsia"/>
              <w:sz w:val="28"/>
              <w:szCs w:val="28"/>
            </w:rPr>
            <w:tab/>
          </w:r>
          <w:r>
            <w:rPr>
              <w:rFonts w:asciiTheme="minorEastAsia" w:hAnsiTheme="minorEastAsia"/>
              <w:sz w:val="28"/>
              <w:szCs w:val="28"/>
            </w:rPr>
            <w:fldChar w:fldCharType="begin"/>
          </w:r>
          <w:r>
            <w:rPr>
              <w:rFonts w:asciiTheme="minorEastAsia" w:hAnsiTheme="minorEastAsia"/>
              <w:sz w:val="28"/>
              <w:szCs w:val="28"/>
            </w:rPr>
            <w:instrText xml:space="preserve"> PAGEREF _Toc197201568 \h </w:instrText>
          </w:r>
          <w:r>
            <w:rPr>
              <w:rFonts w:asciiTheme="minorEastAsia" w:hAnsiTheme="minorEastAsia"/>
              <w:sz w:val="28"/>
              <w:szCs w:val="28"/>
            </w:rPr>
            <w:fldChar w:fldCharType="separate"/>
          </w:r>
          <w:r>
            <w:rPr>
              <w:rFonts w:asciiTheme="minorEastAsia" w:hAnsiTheme="minorEastAsia"/>
              <w:sz w:val="28"/>
              <w:szCs w:val="28"/>
            </w:rPr>
            <w:t>3</w:t>
          </w:r>
          <w:r>
            <w:rPr>
              <w:rFonts w:asciiTheme="minorEastAsia" w:hAnsiTheme="minorEastAsia"/>
              <w:sz w:val="28"/>
              <w:szCs w:val="28"/>
            </w:rPr>
            <w:fldChar w:fldCharType="end"/>
          </w:r>
          <w:r>
            <w:rPr>
              <w:rFonts w:asciiTheme="minorEastAsia" w:hAnsiTheme="minorEastAsia"/>
              <w:sz w:val="28"/>
              <w:szCs w:val="28"/>
            </w:rPr>
            <w:fldChar w:fldCharType="end"/>
          </w:r>
        </w:p>
        <w:p w14:paraId="25E54A17">
          <w:pPr>
            <w:pStyle w:val="11"/>
            <w:tabs>
              <w:tab w:val="right" w:leader="dot" w:pos="8778"/>
            </w:tabs>
            <w:ind w:firstLine="660" w:firstLineChars="300"/>
            <w:rPr>
              <w:rFonts w:asciiTheme="minorEastAsia" w:hAnsiTheme="minorEastAsia" w:cstheme="minorBidi"/>
              <w:kern w:val="2"/>
              <w:sz w:val="28"/>
              <w:szCs w:val="28"/>
            </w:rPr>
          </w:pPr>
          <w:r>
            <w:fldChar w:fldCharType="begin"/>
          </w:r>
          <w:r>
            <w:instrText xml:space="preserve"> HYPERLINK \l "_Toc197201569" </w:instrText>
          </w:r>
          <w:r>
            <w:fldChar w:fldCharType="separate"/>
          </w:r>
          <w:r>
            <w:rPr>
              <w:rStyle w:val="16"/>
              <w:rFonts w:asciiTheme="minorEastAsia" w:hAnsiTheme="minorEastAsia"/>
              <w:sz w:val="28"/>
              <w:szCs w:val="28"/>
            </w:rPr>
            <w:t>2.2</w:t>
          </w:r>
          <w:r>
            <w:rPr>
              <w:rStyle w:val="16"/>
              <w:rFonts w:hint="eastAsia" w:asciiTheme="minorEastAsia" w:hAnsiTheme="minorEastAsia"/>
              <w:sz w:val="28"/>
              <w:szCs w:val="28"/>
            </w:rPr>
            <w:t>虫害滋生关键因素</w:t>
          </w:r>
          <w:r>
            <w:rPr>
              <w:rFonts w:asciiTheme="minorEastAsia" w:hAnsiTheme="minorEastAsia"/>
              <w:sz w:val="28"/>
              <w:szCs w:val="28"/>
            </w:rPr>
            <w:tab/>
          </w:r>
          <w:r>
            <w:rPr>
              <w:rFonts w:asciiTheme="minorEastAsia" w:hAnsiTheme="minorEastAsia"/>
              <w:sz w:val="28"/>
              <w:szCs w:val="28"/>
            </w:rPr>
            <w:fldChar w:fldCharType="begin"/>
          </w:r>
          <w:r>
            <w:rPr>
              <w:rFonts w:asciiTheme="minorEastAsia" w:hAnsiTheme="minorEastAsia"/>
              <w:sz w:val="28"/>
              <w:szCs w:val="28"/>
            </w:rPr>
            <w:instrText xml:space="preserve"> PAGEREF _Toc197201569 \h </w:instrText>
          </w:r>
          <w:r>
            <w:rPr>
              <w:rFonts w:asciiTheme="minorEastAsia" w:hAnsiTheme="minorEastAsia"/>
              <w:sz w:val="28"/>
              <w:szCs w:val="28"/>
            </w:rPr>
            <w:fldChar w:fldCharType="separate"/>
          </w:r>
          <w:r>
            <w:rPr>
              <w:rFonts w:asciiTheme="minorEastAsia" w:hAnsiTheme="minorEastAsia"/>
              <w:sz w:val="28"/>
              <w:szCs w:val="28"/>
            </w:rPr>
            <w:t>4</w:t>
          </w:r>
          <w:r>
            <w:rPr>
              <w:rFonts w:asciiTheme="minorEastAsia" w:hAnsiTheme="minorEastAsia"/>
              <w:sz w:val="28"/>
              <w:szCs w:val="28"/>
            </w:rPr>
            <w:fldChar w:fldCharType="end"/>
          </w:r>
          <w:r>
            <w:rPr>
              <w:rFonts w:asciiTheme="minorEastAsia" w:hAnsiTheme="minorEastAsia"/>
              <w:sz w:val="28"/>
              <w:szCs w:val="28"/>
            </w:rPr>
            <w:fldChar w:fldCharType="end"/>
          </w:r>
        </w:p>
        <w:p w14:paraId="70103BAB">
          <w:pPr>
            <w:pStyle w:val="10"/>
            <w:tabs>
              <w:tab w:val="right" w:leader="dot" w:pos="8778"/>
            </w:tabs>
            <w:ind w:firstLine="440" w:firstLineChars="200"/>
            <w:rPr>
              <w:rFonts w:asciiTheme="minorEastAsia" w:hAnsiTheme="minorEastAsia" w:cstheme="minorBidi"/>
              <w:kern w:val="2"/>
              <w:sz w:val="28"/>
              <w:szCs w:val="28"/>
            </w:rPr>
          </w:pPr>
          <w:r>
            <w:fldChar w:fldCharType="begin"/>
          </w:r>
          <w:r>
            <w:instrText xml:space="preserve"> HYPERLINK \l "_Toc197201570" </w:instrText>
          </w:r>
          <w:r>
            <w:fldChar w:fldCharType="separate"/>
          </w:r>
          <w:r>
            <w:rPr>
              <w:rStyle w:val="16"/>
              <w:rFonts w:hint="eastAsia" w:asciiTheme="minorEastAsia" w:hAnsiTheme="minorEastAsia"/>
              <w:sz w:val="30"/>
              <w:szCs w:val="30"/>
            </w:rPr>
            <w:t>第三章</w:t>
          </w:r>
          <w:r>
            <w:rPr>
              <w:rStyle w:val="16"/>
              <w:rFonts w:asciiTheme="minorEastAsia" w:hAnsiTheme="minorEastAsia"/>
              <w:sz w:val="30"/>
              <w:szCs w:val="30"/>
            </w:rPr>
            <w:t xml:space="preserve"> </w:t>
          </w:r>
          <w:r>
            <w:rPr>
              <w:rStyle w:val="16"/>
              <w:rFonts w:hint="eastAsia" w:asciiTheme="minorEastAsia" w:hAnsiTheme="minorEastAsia"/>
              <w:sz w:val="30"/>
              <w:szCs w:val="30"/>
            </w:rPr>
            <w:t>京东仓库虫害防治现存问题分析</w:t>
          </w:r>
          <w:r>
            <w:rPr>
              <w:rFonts w:asciiTheme="minorEastAsia" w:hAnsiTheme="minorEastAsia"/>
              <w:sz w:val="28"/>
              <w:szCs w:val="28"/>
            </w:rPr>
            <w:tab/>
          </w:r>
          <w:r>
            <w:rPr>
              <w:rFonts w:asciiTheme="minorEastAsia" w:hAnsiTheme="minorEastAsia"/>
              <w:sz w:val="28"/>
              <w:szCs w:val="28"/>
            </w:rPr>
            <w:fldChar w:fldCharType="begin"/>
          </w:r>
          <w:r>
            <w:rPr>
              <w:rFonts w:asciiTheme="minorEastAsia" w:hAnsiTheme="minorEastAsia"/>
              <w:sz w:val="28"/>
              <w:szCs w:val="28"/>
            </w:rPr>
            <w:instrText xml:space="preserve"> PAGEREF _Toc197201570 \h </w:instrText>
          </w:r>
          <w:r>
            <w:rPr>
              <w:rFonts w:asciiTheme="minorEastAsia" w:hAnsiTheme="minorEastAsia"/>
              <w:sz w:val="28"/>
              <w:szCs w:val="28"/>
            </w:rPr>
            <w:fldChar w:fldCharType="separate"/>
          </w:r>
          <w:r>
            <w:rPr>
              <w:rFonts w:asciiTheme="minorEastAsia" w:hAnsiTheme="minorEastAsia"/>
              <w:sz w:val="28"/>
              <w:szCs w:val="28"/>
            </w:rPr>
            <w:t>6</w:t>
          </w:r>
          <w:r>
            <w:rPr>
              <w:rFonts w:asciiTheme="minorEastAsia" w:hAnsiTheme="minorEastAsia"/>
              <w:sz w:val="28"/>
              <w:szCs w:val="28"/>
            </w:rPr>
            <w:fldChar w:fldCharType="end"/>
          </w:r>
          <w:r>
            <w:rPr>
              <w:rFonts w:asciiTheme="minorEastAsia" w:hAnsiTheme="minorEastAsia"/>
              <w:sz w:val="28"/>
              <w:szCs w:val="28"/>
            </w:rPr>
            <w:fldChar w:fldCharType="end"/>
          </w:r>
        </w:p>
        <w:p w14:paraId="32DB2A8B">
          <w:pPr>
            <w:pStyle w:val="11"/>
            <w:tabs>
              <w:tab w:val="right" w:leader="dot" w:pos="8778"/>
            </w:tabs>
            <w:ind w:firstLine="660" w:firstLineChars="300"/>
            <w:rPr>
              <w:rFonts w:asciiTheme="minorEastAsia" w:hAnsiTheme="minorEastAsia" w:cstheme="minorBidi"/>
              <w:kern w:val="2"/>
              <w:sz w:val="28"/>
              <w:szCs w:val="28"/>
            </w:rPr>
          </w:pPr>
          <w:r>
            <w:fldChar w:fldCharType="begin"/>
          </w:r>
          <w:r>
            <w:instrText xml:space="preserve"> HYPERLINK \l "_Toc197201571" </w:instrText>
          </w:r>
          <w:r>
            <w:fldChar w:fldCharType="separate"/>
          </w:r>
          <w:r>
            <w:rPr>
              <w:rStyle w:val="16"/>
              <w:rFonts w:asciiTheme="minorEastAsia" w:hAnsiTheme="minorEastAsia"/>
              <w:sz w:val="28"/>
              <w:szCs w:val="28"/>
            </w:rPr>
            <w:t xml:space="preserve">3.1 </w:t>
          </w:r>
          <w:r>
            <w:rPr>
              <w:rStyle w:val="16"/>
              <w:rFonts w:hint="eastAsia" w:asciiTheme="minorEastAsia" w:hAnsiTheme="minorEastAsia"/>
              <w:sz w:val="28"/>
              <w:szCs w:val="28"/>
            </w:rPr>
            <w:t>虫害种类复杂与防治针对性不足</w:t>
          </w:r>
          <w:r>
            <w:rPr>
              <w:rFonts w:asciiTheme="minorEastAsia" w:hAnsiTheme="minorEastAsia"/>
              <w:sz w:val="28"/>
              <w:szCs w:val="28"/>
            </w:rPr>
            <w:tab/>
          </w:r>
          <w:r>
            <w:rPr>
              <w:rFonts w:asciiTheme="minorEastAsia" w:hAnsiTheme="minorEastAsia"/>
              <w:sz w:val="28"/>
              <w:szCs w:val="28"/>
            </w:rPr>
            <w:fldChar w:fldCharType="begin"/>
          </w:r>
          <w:r>
            <w:rPr>
              <w:rFonts w:asciiTheme="minorEastAsia" w:hAnsiTheme="minorEastAsia"/>
              <w:sz w:val="28"/>
              <w:szCs w:val="28"/>
            </w:rPr>
            <w:instrText xml:space="preserve"> PAGEREF _Toc197201571 \h </w:instrText>
          </w:r>
          <w:r>
            <w:rPr>
              <w:rFonts w:asciiTheme="minorEastAsia" w:hAnsiTheme="minorEastAsia"/>
              <w:sz w:val="28"/>
              <w:szCs w:val="28"/>
            </w:rPr>
            <w:fldChar w:fldCharType="separate"/>
          </w:r>
          <w:r>
            <w:rPr>
              <w:rFonts w:asciiTheme="minorEastAsia" w:hAnsiTheme="minorEastAsia"/>
              <w:sz w:val="28"/>
              <w:szCs w:val="28"/>
            </w:rPr>
            <w:t>6</w:t>
          </w:r>
          <w:r>
            <w:rPr>
              <w:rFonts w:asciiTheme="minorEastAsia" w:hAnsiTheme="minorEastAsia"/>
              <w:sz w:val="28"/>
              <w:szCs w:val="28"/>
            </w:rPr>
            <w:fldChar w:fldCharType="end"/>
          </w:r>
          <w:r>
            <w:rPr>
              <w:rFonts w:asciiTheme="minorEastAsia" w:hAnsiTheme="minorEastAsia"/>
              <w:sz w:val="28"/>
              <w:szCs w:val="28"/>
            </w:rPr>
            <w:fldChar w:fldCharType="end"/>
          </w:r>
        </w:p>
        <w:p w14:paraId="4730F781">
          <w:pPr>
            <w:pStyle w:val="6"/>
            <w:tabs>
              <w:tab w:val="right" w:leader="dot" w:pos="8778"/>
            </w:tabs>
            <w:ind w:firstLine="660" w:firstLineChars="300"/>
            <w:rPr>
              <w:rFonts w:asciiTheme="minorEastAsia" w:hAnsiTheme="minorEastAsia" w:cstheme="minorBidi"/>
              <w:kern w:val="2"/>
              <w:sz w:val="28"/>
              <w:szCs w:val="28"/>
            </w:rPr>
          </w:pPr>
          <w:r>
            <w:fldChar w:fldCharType="begin"/>
          </w:r>
          <w:r>
            <w:instrText xml:space="preserve"> HYPERLINK \l "_Toc197201572" </w:instrText>
          </w:r>
          <w:r>
            <w:fldChar w:fldCharType="separate"/>
          </w:r>
          <w:r>
            <w:rPr>
              <w:rStyle w:val="16"/>
              <w:rFonts w:asciiTheme="minorEastAsia" w:hAnsiTheme="minorEastAsia"/>
              <w:sz w:val="28"/>
              <w:szCs w:val="28"/>
            </w:rPr>
            <w:t xml:space="preserve">3.1.1 </w:t>
          </w:r>
          <w:r>
            <w:rPr>
              <w:rStyle w:val="16"/>
              <w:rFonts w:hint="eastAsia" w:asciiTheme="minorEastAsia" w:hAnsiTheme="minorEastAsia"/>
              <w:sz w:val="28"/>
              <w:szCs w:val="28"/>
            </w:rPr>
            <w:t>多品类存储导致虫害谱多元化</w:t>
          </w:r>
          <w:r>
            <w:rPr>
              <w:rFonts w:asciiTheme="minorEastAsia" w:hAnsiTheme="minorEastAsia"/>
              <w:sz w:val="28"/>
              <w:szCs w:val="28"/>
            </w:rPr>
            <w:tab/>
          </w:r>
          <w:r>
            <w:rPr>
              <w:rFonts w:asciiTheme="minorEastAsia" w:hAnsiTheme="minorEastAsia"/>
              <w:sz w:val="28"/>
              <w:szCs w:val="28"/>
            </w:rPr>
            <w:fldChar w:fldCharType="begin"/>
          </w:r>
          <w:r>
            <w:rPr>
              <w:rFonts w:asciiTheme="minorEastAsia" w:hAnsiTheme="minorEastAsia"/>
              <w:sz w:val="28"/>
              <w:szCs w:val="28"/>
            </w:rPr>
            <w:instrText xml:space="preserve"> PAGEREF _Toc197201572 \h </w:instrText>
          </w:r>
          <w:r>
            <w:rPr>
              <w:rFonts w:asciiTheme="minorEastAsia" w:hAnsiTheme="minorEastAsia"/>
              <w:sz w:val="28"/>
              <w:szCs w:val="28"/>
            </w:rPr>
            <w:fldChar w:fldCharType="separate"/>
          </w:r>
          <w:r>
            <w:rPr>
              <w:rFonts w:asciiTheme="minorEastAsia" w:hAnsiTheme="minorEastAsia"/>
              <w:sz w:val="28"/>
              <w:szCs w:val="28"/>
            </w:rPr>
            <w:t>6</w:t>
          </w:r>
          <w:r>
            <w:rPr>
              <w:rFonts w:asciiTheme="minorEastAsia" w:hAnsiTheme="minorEastAsia"/>
              <w:sz w:val="28"/>
              <w:szCs w:val="28"/>
            </w:rPr>
            <w:fldChar w:fldCharType="end"/>
          </w:r>
          <w:r>
            <w:rPr>
              <w:rFonts w:asciiTheme="minorEastAsia" w:hAnsiTheme="minorEastAsia"/>
              <w:sz w:val="28"/>
              <w:szCs w:val="28"/>
            </w:rPr>
            <w:fldChar w:fldCharType="end"/>
          </w:r>
        </w:p>
        <w:p w14:paraId="19055D2C">
          <w:pPr>
            <w:pStyle w:val="6"/>
            <w:tabs>
              <w:tab w:val="right" w:leader="dot" w:pos="8778"/>
            </w:tabs>
            <w:ind w:firstLine="660" w:firstLineChars="300"/>
            <w:rPr>
              <w:rFonts w:asciiTheme="minorEastAsia" w:hAnsiTheme="minorEastAsia" w:cstheme="minorBidi"/>
              <w:kern w:val="2"/>
              <w:sz w:val="28"/>
              <w:szCs w:val="28"/>
            </w:rPr>
          </w:pPr>
          <w:r>
            <w:fldChar w:fldCharType="begin"/>
          </w:r>
          <w:r>
            <w:instrText xml:space="preserve"> HYPERLINK \l "_Toc197201573" </w:instrText>
          </w:r>
          <w:r>
            <w:fldChar w:fldCharType="separate"/>
          </w:r>
          <w:r>
            <w:rPr>
              <w:rStyle w:val="16"/>
              <w:rFonts w:asciiTheme="minorEastAsia" w:hAnsiTheme="minorEastAsia"/>
              <w:sz w:val="28"/>
              <w:szCs w:val="28"/>
            </w:rPr>
            <w:t xml:space="preserve">3.1.2 </w:t>
          </w:r>
          <w:r>
            <w:rPr>
              <w:rStyle w:val="16"/>
              <w:rFonts w:hint="eastAsia" w:asciiTheme="minorEastAsia" w:hAnsiTheme="minorEastAsia"/>
              <w:sz w:val="28"/>
              <w:szCs w:val="28"/>
            </w:rPr>
            <w:t>外来虫害入侵风险管控薄弱</w:t>
          </w:r>
          <w:r>
            <w:rPr>
              <w:rFonts w:asciiTheme="minorEastAsia" w:hAnsiTheme="minorEastAsia"/>
              <w:sz w:val="28"/>
              <w:szCs w:val="28"/>
            </w:rPr>
            <w:tab/>
          </w:r>
          <w:r>
            <w:rPr>
              <w:rFonts w:asciiTheme="minorEastAsia" w:hAnsiTheme="minorEastAsia"/>
              <w:sz w:val="28"/>
              <w:szCs w:val="28"/>
            </w:rPr>
            <w:fldChar w:fldCharType="begin"/>
          </w:r>
          <w:r>
            <w:rPr>
              <w:rFonts w:asciiTheme="minorEastAsia" w:hAnsiTheme="minorEastAsia"/>
              <w:sz w:val="28"/>
              <w:szCs w:val="28"/>
            </w:rPr>
            <w:instrText xml:space="preserve"> PAGEREF _Toc197201573 \h </w:instrText>
          </w:r>
          <w:r>
            <w:rPr>
              <w:rFonts w:asciiTheme="minorEastAsia" w:hAnsiTheme="minorEastAsia"/>
              <w:sz w:val="28"/>
              <w:szCs w:val="28"/>
            </w:rPr>
            <w:fldChar w:fldCharType="separate"/>
          </w:r>
          <w:r>
            <w:rPr>
              <w:rFonts w:asciiTheme="minorEastAsia" w:hAnsiTheme="minorEastAsia"/>
              <w:sz w:val="28"/>
              <w:szCs w:val="28"/>
            </w:rPr>
            <w:t>6</w:t>
          </w:r>
          <w:r>
            <w:rPr>
              <w:rFonts w:asciiTheme="minorEastAsia" w:hAnsiTheme="minorEastAsia"/>
              <w:sz w:val="28"/>
              <w:szCs w:val="28"/>
            </w:rPr>
            <w:fldChar w:fldCharType="end"/>
          </w:r>
          <w:r>
            <w:rPr>
              <w:rFonts w:asciiTheme="minorEastAsia" w:hAnsiTheme="minorEastAsia"/>
              <w:sz w:val="28"/>
              <w:szCs w:val="28"/>
            </w:rPr>
            <w:fldChar w:fldCharType="end"/>
          </w:r>
        </w:p>
        <w:p w14:paraId="035A0D58">
          <w:pPr>
            <w:pStyle w:val="11"/>
            <w:tabs>
              <w:tab w:val="right" w:leader="dot" w:pos="8778"/>
            </w:tabs>
            <w:ind w:firstLine="660" w:firstLineChars="300"/>
            <w:rPr>
              <w:rFonts w:asciiTheme="minorEastAsia" w:hAnsiTheme="minorEastAsia" w:cstheme="minorBidi"/>
              <w:kern w:val="2"/>
              <w:sz w:val="28"/>
              <w:szCs w:val="28"/>
            </w:rPr>
          </w:pPr>
          <w:r>
            <w:fldChar w:fldCharType="begin"/>
          </w:r>
          <w:r>
            <w:instrText xml:space="preserve"> HYPERLINK \l "_Toc197201574" </w:instrText>
          </w:r>
          <w:r>
            <w:fldChar w:fldCharType="separate"/>
          </w:r>
          <w:r>
            <w:rPr>
              <w:rStyle w:val="16"/>
              <w:rFonts w:asciiTheme="minorEastAsia" w:hAnsiTheme="minorEastAsia"/>
              <w:sz w:val="28"/>
              <w:szCs w:val="28"/>
            </w:rPr>
            <w:t xml:space="preserve">3.2 </w:t>
          </w:r>
          <w:r>
            <w:rPr>
              <w:rStyle w:val="16"/>
              <w:rFonts w:hint="eastAsia" w:asciiTheme="minorEastAsia" w:hAnsiTheme="minorEastAsia"/>
              <w:sz w:val="28"/>
              <w:szCs w:val="28"/>
            </w:rPr>
            <w:t>防治技术与设备存在短板</w:t>
          </w:r>
          <w:r>
            <w:rPr>
              <w:rStyle w:val="16"/>
              <w:rFonts w:hint="eastAsia" w:ascii="MS Mincho" w:hAnsi="MS Mincho" w:eastAsia="MS Mincho" w:cs="MS Mincho"/>
              <w:sz w:val="28"/>
              <w:szCs w:val="28"/>
            </w:rPr>
            <w:t>​</w:t>
          </w:r>
          <w:r>
            <w:rPr>
              <w:rFonts w:asciiTheme="minorEastAsia" w:hAnsiTheme="minorEastAsia"/>
              <w:sz w:val="28"/>
              <w:szCs w:val="28"/>
            </w:rPr>
            <w:tab/>
          </w:r>
          <w:r>
            <w:rPr>
              <w:rFonts w:asciiTheme="minorEastAsia" w:hAnsiTheme="minorEastAsia"/>
              <w:sz w:val="28"/>
              <w:szCs w:val="28"/>
            </w:rPr>
            <w:fldChar w:fldCharType="begin"/>
          </w:r>
          <w:r>
            <w:rPr>
              <w:rFonts w:asciiTheme="minorEastAsia" w:hAnsiTheme="minorEastAsia"/>
              <w:sz w:val="28"/>
              <w:szCs w:val="28"/>
            </w:rPr>
            <w:instrText xml:space="preserve"> PAGEREF _Toc197201574 \h </w:instrText>
          </w:r>
          <w:r>
            <w:rPr>
              <w:rFonts w:asciiTheme="minorEastAsia" w:hAnsiTheme="minorEastAsia"/>
              <w:sz w:val="28"/>
              <w:szCs w:val="28"/>
            </w:rPr>
            <w:fldChar w:fldCharType="separate"/>
          </w:r>
          <w:r>
            <w:rPr>
              <w:rFonts w:asciiTheme="minorEastAsia" w:hAnsiTheme="minorEastAsia"/>
              <w:sz w:val="28"/>
              <w:szCs w:val="28"/>
            </w:rPr>
            <w:t>6</w:t>
          </w:r>
          <w:r>
            <w:rPr>
              <w:rFonts w:asciiTheme="minorEastAsia" w:hAnsiTheme="minorEastAsia"/>
              <w:sz w:val="28"/>
              <w:szCs w:val="28"/>
            </w:rPr>
            <w:fldChar w:fldCharType="end"/>
          </w:r>
          <w:r>
            <w:rPr>
              <w:rFonts w:asciiTheme="minorEastAsia" w:hAnsiTheme="minorEastAsia"/>
              <w:sz w:val="28"/>
              <w:szCs w:val="28"/>
            </w:rPr>
            <w:fldChar w:fldCharType="end"/>
          </w:r>
        </w:p>
        <w:p w14:paraId="0D0E1702">
          <w:pPr>
            <w:pStyle w:val="6"/>
            <w:tabs>
              <w:tab w:val="right" w:leader="dot" w:pos="8778"/>
            </w:tabs>
            <w:ind w:firstLine="660" w:firstLineChars="300"/>
            <w:rPr>
              <w:rFonts w:asciiTheme="minorEastAsia" w:hAnsiTheme="minorEastAsia" w:cstheme="minorBidi"/>
              <w:kern w:val="2"/>
              <w:sz w:val="28"/>
              <w:szCs w:val="28"/>
            </w:rPr>
          </w:pPr>
          <w:r>
            <w:fldChar w:fldCharType="begin"/>
          </w:r>
          <w:r>
            <w:instrText xml:space="preserve"> HYPERLINK \l "_Toc197201575" </w:instrText>
          </w:r>
          <w:r>
            <w:fldChar w:fldCharType="separate"/>
          </w:r>
          <w:r>
            <w:rPr>
              <w:rStyle w:val="16"/>
              <w:rFonts w:asciiTheme="minorEastAsia" w:hAnsiTheme="minorEastAsia"/>
              <w:sz w:val="28"/>
              <w:szCs w:val="28"/>
            </w:rPr>
            <w:t xml:space="preserve">3.2.1 </w:t>
          </w:r>
          <w:r>
            <w:rPr>
              <w:rStyle w:val="16"/>
              <w:rFonts w:hint="eastAsia" w:asciiTheme="minorEastAsia" w:hAnsiTheme="minorEastAsia"/>
              <w:sz w:val="28"/>
              <w:szCs w:val="28"/>
            </w:rPr>
            <w:t>智能监测系统覆盖不足</w:t>
          </w:r>
          <w:r>
            <w:rPr>
              <w:rFonts w:asciiTheme="minorEastAsia" w:hAnsiTheme="minorEastAsia"/>
              <w:sz w:val="28"/>
              <w:szCs w:val="28"/>
            </w:rPr>
            <w:tab/>
          </w:r>
          <w:r>
            <w:rPr>
              <w:rFonts w:asciiTheme="minorEastAsia" w:hAnsiTheme="minorEastAsia"/>
              <w:sz w:val="28"/>
              <w:szCs w:val="28"/>
            </w:rPr>
            <w:fldChar w:fldCharType="begin"/>
          </w:r>
          <w:r>
            <w:rPr>
              <w:rFonts w:asciiTheme="minorEastAsia" w:hAnsiTheme="minorEastAsia"/>
              <w:sz w:val="28"/>
              <w:szCs w:val="28"/>
            </w:rPr>
            <w:instrText xml:space="preserve"> PAGEREF _Toc197201575 \h </w:instrText>
          </w:r>
          <w:r>
            <w:rPr>
              <w:rFonts w:asciiTheme="minorEastAsia" w:hAnsiTheme="minorEastAsia"/>
              <w:sz w:val="28"/>
              <w:szCs w:val="28"/>
            </w:rPr>
            <w:fldChar w:fldCharType="separate"/>
          </w:r>
          <w:r>
            <w:rPr>
              <w:rFonts w:asciiTheme="minorEastAsia" w:hAnsiTheme="minorEastAsia"/>
              <w:sz w:val="28"/>
              <w:szCs w:val="28"/>
            </w:rPr>
            <w:t>6</w:t>
          </w:r>
          <w:r>
            <w:rPr>
              <w:rFonts w:asciiTheme="minorEastAsia" w:hAnsiTheme="minorEastAsia"/>
              <w:sz w:val="28"/>
              <w:szCs w:val="28"/>
            </w:rPr>
            <w:fldChar w:fldCharType="end"/>
          </w:r>
          <w:r>
            <w:rPr>
              <w:rFonts w:asciiTheme="minorEastAsia" w:hAnsiTheme="minorEastAsia"/>
              <w:sz w:val="28"/>
              <w:szCs w:val="28"/>
            </w:rPr>
            <w:fldChar w:fldCharType="end"/>
          </w:r>
        </w:p>
        <w:p w14:paraId="07FA9797">
          <w:pPr>
            <w:pStyle w:val="6"/>
            <w:tabs>
              <w:tab w:val="right" w:leader="dot" w:pos="8778"/>
            </w:tabs>
            <w:ind w:firstLine="660" w:firstLineChars="300"/>
            <w:rPr>
              <w:rFonts w:asciiTheme="minorEastAsia" w:hAnsiTheme="minorEastAsia" w:cstheme="minorBidi"/>
              <w:kern w:val="2"/>
              <w:sz w:val="28"/>
              <w:szCs w:val="28"/>
            </w:rPr>
          </w:pPr>
          <w:r>
            <w:fldChar w:fldCharType="begin"/>
          </w:r>
          <w:r>
            <w:instrText xml:space="preserve"> HYPERLINK \l "_Toc197201576" </w:instrText>
          </w:r>
          <w:r>
            <w:fldChar w:fldCharType="separate"/>
          </w:r>
          <w:r>
            <w:rPr>
              <w:rStyle w:val="16"/>
              <w:rFonts w:asciiTheme="minorEastAsia" w:hAnsiTheme="minorEastAsia"/>
              <w:sz w:val="28"/>
              <w:szCs w:val="28"/>
            </w:rPr>
            <w:t xml:space="preserve">3.2.2 </w:t>
          </w:r>
          <w:r>
            <w:rPr>
              <w:rStyle w:val="16"/>
              <w:rFonts w:hint="eastAsia" w:asciiTheme="minorEastAsia" w:hAnsiTheme="minorEastAsia"/>
              <w:sz w:val="28"/>
              <w:szCs w:val="28"/>
            </w:rPr>
            <w:t>绿色防控技术应用有限</w:t>
          </w:r>
          <w:r>
            <w:rPr>
              <w:rFonts w:asciiTheme="minorEastAsia" w:hAnsiTheme="minorEastAsia"/>
              <w:sz w:val="28"/>
              <w:szCs w:val="28"/>
            </w:rPr>
            <w:tab/>
          </w:r>
          <w:r>
            <w:rPr>
              <w:rFonts w:asciiTheme="minorEastAsia" w:hAnsiTheme="minorEastAsia"/>
              <w:sz w:val="28"/>
              <w:szCs w:val="28"/>
            </w:rPr>
            <w:fldChar w:fldCharType="begin"/>
          </w:r>
          <w:r>
            <w:rPr>
              <w:rFonts w:asciiTheme="minorEastAsia" w:hAnsiTheme="minorEastAsia"/>
              <w:sz w:val="28"/>
              <w:szCs w:val="28"/>
            </w:rPr>
            <w:instrText xml:space="preserve"> PAGEREF _Toc197201576 \h </w:instrText>
          </w:r>
          <w:r>
            <w:rPr>
              <w:rFonts w:asciiTheme="minorEastAsia" w:hAnsiTheme="minorEastAsia"/>
              <w:sz w:val="28"/>
              <w:szCs w:val="28"/>
            </w:rPr>
            <w:fldChar w:fldCharType="separate"/>
          </w:r>
          <w:r>
            <w:rPr>
              <w:rFonts w:asciiTheme="minorEastAsia" w:hAnsiTheme="minorEastAsia"/>
              <w:sz w:val="28"/>
              <w:szCs w:val="28"/>
            </w:rPr>
            <w:t>7</w:t>
          </w:r>
          <w:r>
            <w:rPr>
              <w:rFonts w:asciiTheme="minorEastAsia" w:hAnsiTheme="minorEastAsia"/>
              <w:sz w:val="28"/>
              <w:szCs w:val="28"/>
            </w:rPr>
            <w:fldChar w:fldCharType="end"/>
          </w:r>
          <w:r>
            <w:rPr>
              <w:rFonts w:asciiTheme="minorEastAsia" w:hAnsiTheme="minorEastAsia"/>
              <w:sz w:val="28"/>
              <w:szCs w:val="28"/>
            </w:rPr>
            <w:fldChar w:fldCharType="end"/>
          </w:r>
        </w:p>
        <w:p w14:paraId="23DE03DC">
          <w:pPr>
            <w:pStyle w:val="11"/>
            <w:tabs>
              <w:tab w:val="right" w:leader="dot" w:pos="8778"/>
            </w:tabs>
            <w:ind w:firstLine="440" w:firstLineChars="200"/>
            <w:rPr>
              <w:rFonts w:asciiTheme="minorEastAsia" w:hAnsiTheme="minorEastAsia" w:cstheme="minorBidi"/>
              <w:kern w:val="2"/>
              <w:sz w:val="28"/>
              <w:szCs w:val="28"/>
            </w:rPr>
          </w:pPr>
          <w:r>
            <w:fldChar w:fldCharType="begin"/>
          </w:r>
          <w:r>
            <w:instrText xml:space="preserve"> HYPERLINK \l "_Toc197201577" </w:instrText>
          </w:r>
          <w:r>
            <w:fldChar w:fldCharType="separate"/>
          </w:r>
          <w:r>
            <w:rPr>
              <w:rStyle w:val="16"/>
              <w:rFonts w:asciiTheme="minorEastAsia" w:hAnsiTheme="minorEastAsia"/>
              <w:sz w:val="28"/>
              <w:szCs w:val="28"/>
            </w:rPr>
            <w:t xml:space="preserve">3.3 </w:t>
          </w:r>
          <w:r>
            <w:rPr>
              <w:rStyle w:val="16"/>
              <w:rFonts w:hint="eastAsia" w:asciiTheme="minorEastAsia" w:hAnsiTheme="minorEastAsia"/>
              <w:sz w:val="28"/>
              <w:szCs w:val="28"/>
            </w:rPr>
            <w:t>仓储环境管理与人员意识问题</w:t>
          </w:r>
          <w:r>
            <w:rPr>
              <w:rFonts w:asciiTheme="minorEastAsia" w:hAnsiTheme="minorEastAsia"/>
              <w:sz w:val="28"/>
              <w:szCs w:val="28"/>
            </w:rPr>
            <w:tab/>
          </w:r>
          <w:r>
            <w:rPr>
              <w:rFonts w:asciiTheme="minorEastAsia" w:hAnsiTheme="minorEastAsia"/>
              <w:sz w:val="28"/>
              <w:szCs w:val="28"/>
            </w:rPr>
            <w:fldChar w:fldCharType="begin"/>
          </w:r>
          <w:r>
            <w:rPr>
              <w:rFonts w:asciiTheme="minorEastAsia" w:hAnsiTheme="minorEastAsia"/>
              <w:sz w:val="28"/>
              <w:szCs w:val="28"/>
            </w:rPr>
            <w:instrText xml:space="preserve"> PAGEREF _Toc197201577 \h </w:instrText>
          </w:r>
          <w:r>
            <w:rPr>
              <w:rFonts w:asciiTheme="minorEastAsia" w:hAnsiTheme="minorEastAsia"/>
              <w:sz w:val="28"/>
              <w:szCs w:val="28"/>
            </w:rPr>
            <w:fldChar w:fldCharType="separate"/>
          </w:r>
          <w:r>
            <w:rPr>
              <w:rFonts w:asciiTheme="minorEastAsia" w:hAnsiTheme="minorEastAsia"/>
              <w:sz w:val="28"/>
              <w:szCs w:val="28"/>
            </w:rPr>
            <w:t>7</w:t>
          </w:r>
          <w:r>
            <w:rPr>
              <w:rFonts w:asciiTheme="minorEastAsia" w:hAnsiTheme="minorEastAsia"/>
              <w:sz w:val="28"/>
              <w:szCs w:val="28"/>
            </w:rPr>
            <w:fldChar w:fldCharType="end"/>
          </w:r>
          <w:r>
            <w:rPr>
              <w:rFonts w:asciiTheme="minorEastAsia" w:hAnsiTheme="minorEastAsia"/>
              <w:sz w:val="28"/>
              <w:szCs w:val="28"/>
            </w:rPr>
            <w:fldChar w:fldCharType="end"/>
          </w:r>
        </w:p>
        <w:p w14:paraId="41151F12">
          <w:pPr>
            <w:pStyle w:val="6"/>
            <w:tabs>
              <w:tab w:val="right" w:leader="dot" w:pos="8778"/>
            </w:tabs>
            <w:ind w:firstLine="660" w:firstLineChars="300"/>
            <w:rPr>
              <w:rFonts w:asciiTheme="minorEastAsia" w:hAnsiTheme="minorEastAsia" w:cstheme="minorBidi"/>
              <w:kern w:val="2"/>
              <w:sz w:val="28"/>
              <w:szCs w:val="28"/>
            </w:rPr>
          </w:pPr>
          <w:r>
            <w:fldChar w:fldCharType="begin"/>
          </w:r>
          <w:r>
            <w:instrText xml:space="preserve"> HYPERLINK \l "_Toc197201578" </w:instrText>
          </w:r>
          <w:r>
            <w:fldChar w:fldCharType="separate"/>
          </w:r>
          <w:r>
            <w:rPr>
              <w:rStyle w:val="16"/>
              <w:rFonts w:asciiTheme="minorEastAsia" w:hAnsiTheme="minorEastAsia"/>
              <w:sz w:val="28"/>
              <w:szCs w:val="28"/>
            </w:rPr>
            <w:t xml:space="preserve">3.3.1 </w:t>
          </w:r>
          <w:r>
            <w:rPr>
              <w:rStyle w:val="16"/>
              <w:rFonts w:hint="eastAsia" w:asciiTheme="minorEastAsia" w:hAnsiTheme="minorEastAsia"/>
              <w:sz w:val="28"/>
              <w:szCs w:val="28"/>
            </w:rPr>
            <w:t>温湿度控制与卫生死角治理不足</w:t>
          </w:r>
          <w:r>
            <w:rPr>
              <w:rFonts w:asciiTheme="minorEastAsia" w:hAnsiTheme="minorEastAsia"/>
              <w:sz w:val="28"/>
              <w:szCs w:val="28"/>
            </w:rPr>
            <w:tab/>
          </w:r>
          <w:r>
            <w:rPr>
              <w:rFonts w:asciiTheme="minorEastAsia" w:hAnsiTheme="minorEastAsia"/>
              <w:sz w:val="28"/>
              <w:szCs w:val="28"/>
            </w:rPr>
            <w:fldChar w:fldCharType="begin"/>
          </w:r>
          <w:r>
            <w:rPr>
              <w:rFonts w:asciiTheme="minorEastAsia" w:hAnsiTheme="minorEastAsia"/>
              <w:sz w:val="28"/>
              <w:szCs w:val="28"/>
            </w:rPr>
            <w:instrText xml:space="preserve"> PAGEREF _Toc197201578 \h </w:instrText>
          </w:r>
          <w:r>
            <w:rPr>
              <w:rFonts w:asciiTheme="minorEastAsia" w:hAnsiTheme="minorEastAsia"/>
              <w:sz w:val="28"/>
              <w:szCs w:val="28"/>
            </w:rPr>
            <w:fldChar w:fldCharType="separate"/>
          </w:r>
          <w:r>
            <w:rPr>
              <w:rFonts w:asciiTheme="minorEastAsia" w:hAnsiTheme="minorEastAsia"/>
              <w:sz w:val="28"/>
              <w:szCs w:val="28"/>
            </w:rPr>
            <w:t>7</w:t>
          </w:r>
          <w:r>
            <w:rPr>
              <w:rFonts w:asciiTheme="minorEastAsia" w:hAnsiTheme="minorEastAsia"/>
              <w:sz w:val="28"/>
              <w:szCs w:val="28"/>
            </w:rPr>
            <w:fldChar w:fldCharType="end"/>
          </w:r>
          <w:r>
            <w:rPr>
              <w:rFonts w:asciiTheme="minorEastAsia" w:hAnsiTheme="minorEastAsia"/>
              <w:sz w:val="28"/>
              <w:szCs w:val="28"/>
            </w:rPr>
            <w:fldChar w:fldCharType="end"/>
          </w:r>
        </w:p>
        <w:p w14:paraId="2F2BE8FC">
          <w:pPr>
            <w:pStyle w:val="6"/>
            <w:tabs>
              <w:tab w:val="right" w:leader="dot" w:pos="8778"/>
            </w:tabs>
            <w:ind w:firstLine="660" w:firstLineChars="300"/>
            <w:rPr>
              <w:rFonts w:asciiTheme="minorEastAsia" w:hAnsiTheme="minorEastAsia" w:cstheme="minorBidi"/>
              <w:kern w:val="2"/>
              <w:sz w:val="28"/>
              <w:szCs w:val="28"/>
            </w:rPr>
          </w:pPr>
          <w:r>
            <w:fldChar w:fldCharType="begin"/>
          </w:r>
          <w:r>
            <w:instrText xml:space="preserve"> HYPERLINK \l "_Toc197201579" </w:instrText>
          </w:r>
          <w:r>
            <w:fldChar w:fldCharType="separate"/>
          </w:r>
          <w:r>
            <w:rPr>
              <w:rStyle w:val="16"/>
              <w:rFonts w:asciiTheme="minorEastAsia" w:hAnsiTheme="minorEastAsia"/>
              <w:sz w:val="28"/>
              <w:szCs w:val="28"/>
            </w:rPr>
            <w:t xml:space="preserve">3.3.2 </w:t>
          </w:r>
          <w:r>
            <w:rPr>
              <w:rStyle w:val="16"/>
              <w:rFonts w:hint="eastAsia" w:asciiTheme="minorEastAsia" w:hAnsiTheme="minorEastAsia"/>
              <w:sz w:val="28"/>
              <w:szCs w:val="28"/>
            </w:rPr>
            <w:t>员工防治意识与技能参差不齐</w:t>
          </w:r>
          <w:r>
            <w:rPr>
              <w:rStyle w:val="16"/>
              <w:rFonts w:hint="eastAsia" w:ascii="MS Mincho" w:hAnsi="MS Mincho" w:eastAsia="MS Mincho" w:cs="MS Mincho"/>
              <w:sz w:val="28"/>
              <w:szCs w:val="28"/>
            </w:rPr>
            <w:t>​</w:t>
          </w:r>
          <w:r>
            <w:rPr>
              <w:rFonts w:asciiTheme="minorEastAsia" w:hAnsiTheme="minorEastAsia"/>
              <w:sz w:val="28"/>
              <w:szCs w:val="28"/>
            </w:rPr>
            <w:tab/>
          </w:r>
          <w:r>
            <w:rPr>
              <w:rFonts w:asciiTheme="minorEastAsia" w:hAnsiTheme="minorEastAsia"/>
              <w:sz w:val="28"/>
              <w:szCs w:val="28"/>
            </w:rPr>
            <w:fldChar w:fldCharType="begin"/>
          </w:r>
          <w:r>
            <w:rPr>
              <w:rFonts w:asciiTheme="minorEastAsia" w:hAnsiTheme="minorEastAsia"/>
              <w:sz w:val="28"/>
              <w:szCs w:val="28"/>
            </w:rPr>
            <w:instrText xml:space="preserve"> PAGEREF _Toc197201579 \h </w:instrText>
          </w:r>
          <w:r>
            <w:rPr>
              <w:rFonts w:asciiTheme="minorEastAsia" w:hAnsiTheme="minorEastAsia"/>
              <w:sz w:val="28"/>
              <w:szCs w:val="28"/>
            </w:rPr>
            <w:fldChar w:fldCharType="separate"/>
          </w:r>
          <w:r>
            <w:rPr>
              <w:rFonts w:asciiTheme="minorEastAsia" w:hAnsiTheme="minorEastAsia"/>
              <w:sz w:val="28"/>
              <w:szCs w:val="28"/>
            </w:rPr>
            <w:t>7</w:t>
          </w:r>
          <w:r>
            <w:rPr>
              <w:rFonts w:asciiTheme="minorEastAsia" w:hAnsiTheme="minorEastAsia"/>
              <w:sz w:val="28"/>
              <w:szCs w:val="28"/>
            </w:rPr>
            <w:fldChar w:fldCharType="end"/>
          </w:r>
          <w:r>
            <w:rPr>
              <w:rFonts w:asciiTheme="minorEastAsia" w:hAnsiTheme="minorEastAsia"/>
              <w:sz w:val="28"/>
              <w:szCs w:val="28"/>
            </w:rPr>
            <w:fldChar w:fldCharType="end"/>
          </w:r>
        </w:p>
        <w:p w14:paraId="30B28FDF">
          <w:pPr>
            <w:pStyle w:val="6"/>
            <w:tabs>
              <w:tab w:val="right" w:leader="dot" w:pos="8778"/>
            </w:tabs>
            <w:ind w:firstLine="660" w:firstLineChars="300"/>
            <w:rPr>
              <w:rFonts w:asciiTheme="minorEastAsia" w:hAnsiTheme="minorEastAsia" w:cstheme="minorBidi"/>
              <w:kern w:val="2"/>
              <w:sz w:val="28"/>
              <w:szCs w:val="28"/>
            </w:rPr>
          </w:pPr>
          <w:r>
            <w:fldChar w:fldCharType="begin"/>
          </w:r>
          <w:r>
            <w:instrText xml:space="preserve"> HYPERLINK \l "_Toc197201580" </w:instrText>
          </w:r>
          <w:r>
            <w:fldChar w:fldCharType="separate"/>
          </w:r>
          <w:r>
            <w:rPr>
              <w:rStyle w:val="16"/>
              <w:rFonts w:asciiTheme="minorEastAsia" w:hAnsiTheme="minorEastAsia"/>
              <w:sz w:val="28"/>
              <w:szCs w:val="28"/>
            </w:rPr>
            <w:t xml:space="preserve">3.3.3 </w:t>
          </w:r>
          <w:r>
            <w:rPr>
              <w:rStyle w:val="16"/>
              <w:rFonts w:hint="eastAsia" w:asciiTheme="minorEastAsia" w:hAnsiTheme="minorEastAsia"/>
              <w:sz w:val="28"/>
              <w:szCs w:val="28"/>
            </w:rPr>
            <w:t>防治效果评估与迭代滞后</w:t>
          </w:r>
          <w:r>
            <w:rPr>
              <w:rStyle w:val="16"/>
              <w:rFonts w:hint="eastAsia" w:ascii="MS Mincho" w:hAnsi="MS Mincho" w:eastAsia="MS Mincho" w:cs="MS Mincho"/>
              <w:sz w:val="28"/>
              <w:szCs w:val="28"/>
            </w:rPr>
            <w:t>​</w:t>
          </w:r>
          <w:r>
            <w:rPr>
              <w:rFonts w:asciiTheme="minorEastAsia" w:hAnsiTheme="minorEastAsia"/>
              <w:sz w:val="28"/>
              <w:szCs w:val="28"/>
            </w:rPr>
            <w:tab/>
          </w:r>
          <w:r>
            <w:rPr>
              <w:rFonts w:asciiTheme="minorEastAsia" w:hAnsiTheme="minorEastAsia"/>
              <w:sz w:val="28"/>
              <w:szCs w:val="28"/>
            </w:rPr>
            <w:fldChar w:fldCharType="begin"/>
          </w:r>
          <w:r>
            <w:rPr>
              <w:rFonts w:asciiTheme="minorEastAsia" w:hAnsiTheme="minorEastAsia"/>
              <w:sz w:val="28"/>
              <w:szCs w:val="28"/>
            </w:rPr>
            <w:instrText xml:space="preserve"> PAGEREF _Toc197201580 \h </w:instrText>
          </w:r>
          <w:r>
            <w:rPr>
              <w:rFonts w:asciiTheme="minorEastAsia" w:hAnsiTheme="minorEastAsia"/>
              <w:sz w:val="28"/>
              <w:szCs w:val="28"/>
            </w:rPr>
            <w:fldChar w:fldCharType="separate"/>
          </w:r>
          <w:r>
            <w:rPr>
              <w:rFonts w:asciiTheme="minorEastAsia" w:hAnsiTheme="minorEastAsia"/>
              <w:sz w:val="28"/>
              <w:szCs w:val="28"/>
            </w:rPr>
            <w:t>8</w:t>
          </w:r>
          <w:r>
            <w:rPr>
              <w:rFonts w:asciiTheme="minorEastAsia" w:hAnsiTheme="minorEastAsia"/>
              <w:sz w:val="28"/>
              <w:szCs w:val="28"/>
            </w:rPr>
            <w:fldChar w:fldCharType="end"/>
          </w:r>
          <w:r>
            <w:rPr>
              <w:rFonts w:asciiTheme="minorEastAsia" w:hAnsiTheme="minorEastAsia"/>
              <w:sz w:val="28"/>
              <w:szCs w:val="28"/>
            </w:rPr>
            <w:fldChar w:fldCharType="end"/>
          </w:r>
        </w:p>
        <w:p w14:paraId="7C5FCBAD">
          <w:pPr>
            <w:pStyle w:val="10"/>
            <w:tabs>
              <w:tab w:val="right" w:leader="dot" w:pos="8778"/>
            </w:tabs>
            <w:ind w:firstLine="440" w:firstLineChars="200"/>
            <w:rPr>
              <w:rFonts w:asciiTheme="minorEastAsia" w:hAnsiTheme="minorEastAsia" w:cstheme="minorBidi"/>
              <w:kern w:val="2"/>
              <w:sz w:val="28"/>
              <w:szCs w:val="28"/>
            </w:rPr>
          </w:pPr>
          <w:r>
            <w:fldChar w:fldCharType="begin"/>
          </w:r>
          <w:r>
            <w:instrText xml:space="preserve"> HYPERLINK \l "_Toc197201581" </w:instrText>
          </w:r>
          <w:r>
            <w:fldChar w:fldCharType="separate"/>
          </w:r>
          <w:r>
            <w:rPr>
              <w:rStyle w:val="16"/>
              <w:rFonts w:hint="eastAsia" w:asciiTheme="minorEastAsia" w:hAnsiTheme="minorEastAsia"/>
              <w:sz w:val="30"/>
              <w:szCs w:val="30"/>
            </w:rPr>
            <w:t>第四章</w:t>
          </w:r>
          <w:r>
            <w:rPr>
              <w:rStyle w:val="16"/>
              <w:rFonts w:asciiTheme="minorEastAsia" w:hAnsiTheme="minorEastAsia"/>
              <w:sz w:val="30"/>
              <w:szCs w:val="30"/>
            </w:rPr>
            <w:t xml:space="preserve">  </w:t>
          </w:r>
          <w:r>
            <w:rPr>
              <w:rStyle w:val="16"/>
              <w:rFonts w:hint="eastAsia" w:asciiTheme="minorEastAsia" w:hAnsiTheme="minorEastAsia"/>
              <w:sz w:val="30"/>
              <w:szCs w:val="30"/>
            </w:rPr>
            <w:t>京东物流库存管理优化方案</w:t>
          </w:r>
          <w:r>
            <w:rPr>
              <w:rFonts w:asciiTheme="minorEastAsia" w:hAnsiTheme="minorEastAsia"/>
              <w:sz w:val="28"/>
              <w:szCs w:val="28"/>
            </w:rPr>
            <w:tab/>
          </w:r>
          <w:r>
            <w:rPr>
              <w:rFonts w:asciiTheme="minorEastAsia" w:hAnsiTheme="minorEastAsia"/>
              <w:sz w:val="28"/>
              <w:szCs w:val="28"/>
            </w:rPr>
            <w:fldChar w:fldCharType="begin"/>
          </w:r>
          <w:r>
            <w:rPr>
              <w:rFonts w:asciiTheme="minorEastAsia" w:hAnsiTheme="minorEastAsia"/>
              <w:sz w:val="28"/>
              <w:szCs w:val="28"/>
            </w:rPr>
            <w:instrText xml:space="preserve"> PAGEREF _Toc197201581 \h </w:instrText>
          </w:r>
          <w:r>
            <w:rPr>
              <w:rFonts w:asciiTheme="minorEastAsia" w:hAnsiTheme="minorEastAsia"/>
              <w:sz w:val="28"/>
              <w:szCs w:val="28"/>
            </w:rPr>
            <w:fldChar w:fldCharType="separate"/>
          </w:r>
          <w:r>
            <w:rPr>
              <w:rFonts w:asciiTheme="minorEastAsia" w:hAnsiTheme="minorEastAsia"/>
              <w:sz w:val="28"/>
              <w:szCs w:val="28"/>
            </w:rPr>
            <w:t>9</w:t>
          </w:r>
          <w:r>
            <w:rPr>
              <w:rFonts w:asciiTheme="minorEastAsia" w:hAnsiTheme="minorEastAsia"/>
              <w:sz w:val="28"/>
              <w:szCs w:val="28"/>
            </w:rPr>
            <w:fldChar w:fldCharType="end"/>
          </w:r>
          <w:r>
            <w:rPr>
              <w:rFonts w:asciiTheme="minorEastAsia" w:hAnsiTheme="minorEastAsia"/>
              <w:sz w:val="28"/>
              <w:szCs w:val="28"/>
            </w:rPr>
            <w:fldChar w:fldCharType="end"/>
          </w:r>
        </w:p>
        <w:p w14:paraId="21CD52F0">
          <w:pPr>
            <w:pStyle w:val="11"/>
            <w:tabs>
              <w:tab w:val="right" w:leader="dot" w:pos="8778"/>
            </w:tabs>
            <w:ind w:firstLine="660" w:firstLineChars="300"/>
            <w:rPr>
              <w:rFonts w:asciiTheme="minorEastAsia" w:hAnsiTheme="minorEastAsia" w:cstheme="minorBidi"/>
              <w:kern w:val="2"/>
              <w:sz w:val="28"/>
              <w:szCs w:val="28"/>
            </w:rPr>
          </w:pPr>
          <w:r>
            <w:fldChar w:fldCharType="begin"/>
          </w:r>
          <w:r>
            <w:instrText xml:space="preserve"> HYPERLINK \l "_Toc197201582" </w:instrText>
          </w:r>
          <w:r>
            <w:fldChar w:fldCharType="separate"/>
          </w:r>
          <w:r>
            <w:rPr>
              <w:rStyle w:val="16"/>
              <w:rFonts w:asciiTheme="minorEastAsia" w:hAnsiTheme="minorEastAsia"/>
              <w:sz w:val="28"/>
              <w:szCs w:val="28"/>
            </w:rPr>
            <w:t xml:space="preserve">4.1 </w:t>
          </w:r>
          <w:r>
            <w:rPr>
              <w:rStyle w:val="16"/>
              <w:rFonts w:hint="eastAsia" w:asciiTheme="minorEastAsia" w:hAnsiTheme="minorEastAsia"/>
              <w:sz w:val="28"/>
              <w:szCs w:val="28"/>
            </w:rPr>
            <w:t>构建差异化分类防控体系</w:t>
          </w:r>
          <w:r>
            <w:rPr>
              <w:rStyle w:val="16"/>
              <w:rFonts w:hint="eastAsia" w:ascii="MS Mincho" w:hAnsi="MS Mincho" w:eastAsia="MS Mincho" w:cs="MS Mincho"/>
              <w:sz w:val="28"/>
              <w:szCs w:val="28"/>
            </w:rPr>
            <w:t>​</w:t>
          </w:r>
          <w:r>
            <w:rPr>
              <w:rFonts w:asciiTheme="minorEastAsia" w:hAnsiTheme="minorEastAsia"/>
              <w:sz w:val="28"/>
              <w:szCs w:val="28"/>
            </w:rPr>
            <w:tab/>
          </w:r>
          <w:r>
            <w:rPr>
              <w:rFonts w:asciiTheme="minorEastAsia" w:hAnsiTheme="minorEastAsia"/>
              <w:sz w:val="28"/>
              <w:szCs w:val="28"/>
            </w:rPr>
            <w:fldChar w:fldCharType="begin"/>
          </w:r>
          <w:r>
            <w:rPr>
              <w:rFonts w:asciiTheme="minorEastAsia" w:hAnsiTheme="minorEastAsia"/>
              <w:sz w:val="28"/>
              <w:szCs w:val="28"/>
            </w:rPr>
            <w:instrText xml:space="preserve"> PAGEREF _Toc197201582 \h </w:instrText>
          </w:r>
          <w:r>
            <w:rPr>
              <w:rFonts w:asciiTheme="minorEastAsia" w:hAnsiTheme="minorEastAsia"/>
              <w:sz w:val="28"/>
              <w:szCs w:val="28"/>
            </w:rPr>
            <w:fldChar w:fldCharType="separate"/>
          </w:r>
          <w:r>
            <w:rPr>
              <w:rFonts w:asciiTheme="minorEastAsia" w:hAnsiTheme="minorEastAsia"/>
              <w:sz w:val="28"/>
              <w:szCs w:val="28"/>
            </w:rPr>
            <w:t>9</w:t>
          </w:r>
          <w:r>
            <w:rPr>
              <w:rFonts w:asciiTheme="minorEastAsia" w:hAnsiTheme="minorEastAsia"/>
              <w:sz w:val="28"/>
              <w:szCs w:val="28"/>
            </w:rPr>
            <w:fldChar w:fldCharType="end"/>
          </w:r>
          <w:r>
            <w:rPr>
              <w:rFonts w:asciiTheme="minorEastAsia" w:hAnsiTheme="minorEastAsia"/>
              <w:sz w:val="28"/>
              <w:szCs w:val="28"/>
            </w:rPr>
            <w:fldChar w:fldCharType="end"/>
          </w:r>
        </w:p>
        <w:p w14:paraId="7101DE9E">
          <w:pPr>
            <w:pStyle w:val="6"/>
            <w:tabs>
              <w:tab w:val="right" w:leader="dot" w:pos="8778"/>
            </w:tabs>
            <w:ind w:firstLine="660" w:firstLineChars="300"/>
            <w:rPr>
              <w:rFonts w:asciiTheme="minorEastAsia" w:hAnsiTheme="minorEastAsia" w:cstheme="minorBidi"/>
              <w:kern w:val="2"/>
              <w:sz w:val="28"/>
              <w:szCs w:val="28"/>
            </w:rPr>
          </w:pPr>
          <w:r>
            <w:fldChar w:fldCharType="begin"/>
          </w:r>
          <w:r>
            <w:instrText xml:space="preserve"> HYPERLINK \l "_Toc197201583" </w:instrText>
          </w:r>
          <w:r>
            <w:fldChar w:fldCharType="separate"/>
          </w:r>
          <w:r>
            <w:rPr>
              <w:rStyle w:val="16"/>
              <w:rFonts w:asciiTheme="minorEastAsia" w:hAnsiTheme="minorEastAsia"/>
              <w:sz w:val="28"/>
              <w:szCs w:val="28"/>
            </w:rPr>
            <w:t xml:space="preserve">4.1.1 </w:t>
          </w:r>
          <w:r>
            <w:rPr>
              <w:rStyle w:val="16"/>
              <w:rFonts w:hint="eastAsia" w:asciiTheme="minorEastAsia" w:hAnsiTheme="minorEastAsia"/>
              <w:sz w:val="28"/>
              <w:szCs w:val="28"/>
            </w:rPr>
            <w:t>货区细分与针对性防治方案</w:t>
          </w:r>
          <w:r>
            <w:rPr>
              <w:rStyle w:val="16"/>
              <w:rFonts w:ascii="MS Mincho" w:hAnsi="MS Mincho" w:cs="MS Mincho"/>
              <w:sz w:val="28"/>
              <w:szCs w:val="28"/>
            </w:rPr>
            <w:t>​</w:t>
          </w:r>
          <w:r>
            <w:rPr>
              <w:rFonts w:asciiTheme="minorEastAsia" w:hAnsiTheme="minorEastAsia"/>
              <w:sz w:val="28"/>
              <w:szCs w:val="28"/>
            </w:rPr>
            <w:tab/>
          </w:r>
          <w:r>
            <w:rPr>
              <w:rFonts w:asciiTheme="minorEastAsia" w:hAnsiTheme="minorEastAsia"/>
              <w:sz w:val="28"/>
              <w:szCs w:val="28"/>
            </w:rPr>
            <w:fldChar w:fldCharType="begin"/>
          </w:r>
          <w:r>
            <w:rPr>
              <w:rFonts w:asciiTheme="minorEastAsia" w:hAnsiTheme="minorEastAsia"/>
              <w:sz w:val="28"/>
              <w:szCs w:val="28"/>
            </w:rPr>
            <w:instrText xml:space="preserve"> PAGEREF _Toc197201583 \h </w:instrText>
          </w:r>
          <w:r>
            <w:rPr>
              <w:rFonts w:asciiTheme="minorEastAsia" w:hAnsiTheme="minorEastAsia"/>
              <w:sz w:val="28"/>
              <w:szCs w:val="28"/>
            </w:rPr>
            <w:fldChar w:fldCharType="separate"/>
          </w:r>
          <w:r>
            <w:rPr>
              <w:rFonts w:asciiTheme="minorEastAsia" w:hAnsiTheme="minorEastAsia"/>
              <w:sz w:val="28"/>
              <w:szCs w:val="28"/>
            </w:rPr>
            <w:t>9</w:t>
          </w:r>
          <w:r>
            <w:rPr>
              <w:rFonts w:asciiTheme="minorEastAsia" w:hAnsiTheme="minorEastAsia"/>
              <w:sz w:val="28"/>
              <w:szCs w:val="28"/>
            </w:rPr>
            <w:fldChar w:fldCharType="end"/>
          </w:r>
          <w:r>
            <w:rPr>
              <w:rFonts w:asciiTheme="minorEastAsia" w:hAnsiTheme="minorEastAsia"/>
              <w:sz w:val="28"/>
              <w:szCs w:val="28"/>
            </w:rPr>
            <w:fldChar w:fldCharType="end"/>
          </w:r>
        </w:p>
        <w:p w14:paraId="5AEC9F31">
          <w:pPr>
            <w:pStyle w:val="6"/>
            <w:tabs>
              <w:tab w:val="right" w:leader="dot" w:pos="8778"/>
            </w:tabs>
            <w:ind w:firstLine="660" w:firstLineChars="300"/>
            <w:rPr>
              <w:rFonts w:asciiTheme="minorEastAsia" w:hAnsiTheme="minorEastAsia" w:cstheme="minorBidi"/>
              <w:kern w:val="2"/>
              <w:sz w:val="28"/>
              <w:szCs w:val="28"/>
            </w:rPr>
          </w:pPr>
          <w:r>
            <w:fldChar w:fldCharType="begin"/>
          </w:r>
          <w:r>
            <w:instrText xml:space="preserve"> HYPERLINK \l "_Toc197201584" </w:instrText>
          </w:r>
          <w:r>
            <w:fldChar w:fldCharType="separate"/>
          </w:r>
          <w:r>
            <w:rPr>
              <w:rStyle w:val="16"/>
              <w:rFonts w:asciiTheme="minorEastAsia" w:hAnsiTheme="minorEastAsia"/>
              <w:sz w:val="28"/>
              <w:szCs w:val="28"/>
            </w:rPr>
            <w:t xml:space="preserve">4.1.2 </w:t>
          </w:r>
          <w:r>
            <w:rPr>
              <w:rStyle w:val="16"/>
              <w:rFonts w:hint="eastAsia" w:asciiTheme="minorEastAsia" w:hAnsiTheme="minorEastAsia"/>
              <w:sz w:val="28"/>
              <w:szCs w:val="28"/>
            </w:rPr>
            <w:t>外来虫害入侵阻断策略</w:t>
          </w:r>
          <w:r>
            <w:rPr>
              <w:rStyle w:val="16"/>
              <w:rFonts w:ascii="MS Mincho" w:hAnsi="MS Mincho" w:cs="MS Mincho"/>
              <w:sz w:val="28"/>
              <w:szCs w:val="28"/>
            </w:rPr>
            <w:t>​</w:t>
          </w:r>
          <w:r>
            <w:rPr>
              <w:rFonts w:asciiTheme="minorEastAsia" w:hAnsiTheme="minorEastAsia"/>
              <w:sz w:val="28"/>
              <w:szCs w:val="28"/>
            </w:rPr>
            <w:tab/>
          </w:r>
          <w:r>
            <w:rPr>
              <w:rFonts w:asciiTheme="minorEastAsia" w:hAnsiTheme="minorEastAsia"/>
              <w:sz w:val="28"/>
              <w:szCs w:val="28"/>
            </w:rPr>
            <w:fldChar w:fldCharType="begin"/>
          </w:r>
          <w:r>
            <w:rPr>
              <w:rFonts w:asciiTheme="minorEastAsia" w:hAnsiTheme="minorEastAsia"/>
              <w:sz w:val="28"/>
              <w:szCs w:val="28"/>
            </w:rPr>
            <w:instrText xml:space="preserve"> PAGEREF _Toc197201584 \h </w:instrText>
          </w:r>
          <w:r>
            <w:rPr>
              <w:rFonts w:asciiTheme="minorEastAsia" w:hAnsiTheme="minorEastAsia"/>
              <w:sz w:val="28"/>
              <w:szCs w:val="28"/>
            </w:rPr>
            <w:fldChar w:fldCharType="separate"/>
          </w:r>
          <w:r>
            <w:rPr>
              <w:rFonts w:asciiTheme="minorEastAsia" w:hAnsiTheme="minorEastAsia"/>
              <w:sz w:val="28"/>
              <w:szCs w:val="28"/>
            </w:rPr>
            <w:t>9</w:t>
          </w:r>
          <w:r>
            <w:rPr>
              <w:rFonts w:asciiTheme="minorEastAsia" w:hAnsiTheme="minorEastAsia"/>
              <w:sz w:val="28"/>
              <w:szCs w:val="28"/>
            </w:rPr>
            <w:fldChar w:fldCharType="end"/>
          </w:r>
          <w:r>
            <w:rPr>
              <w:rFonts w:asciiTheme="minorEastAsia" w:hAnsiTheme="minorEastAsia"/>
              <w:sz w:val="28"/>
              <w:szCs w:val="28"/>
            </w:rPr>
            <w:fldChar w:fldCharType="end"/>
          </w:r>
        </w:p>
        <w:p w14:paraId="7DC86949">
          <w:pPr>
            <w:pStyle w:val="11"/>
            <w:tabs>
              <w:tab w:val="right" w:leader="dot" w:pos="8778"/>
            </w:tabs>
            <w:ind w:firstLine="660" w:firstLineChars="300"/>
            <w:rPr>
              <w:rFonts w:asciiTheme="minorEastAsia" w:hAnsiTheme="minorEastAsia" w:cstheme="minorBidi"/>
              <w:kern w:val="2"/>
              <w:sz w:val="28"/>
              <w:szCs w:val="28"/>
            </w:rPr>
          </w:pPr>
          <w:r>
            <w:fldChar w:fldCharType="begin"/>
          </w:r>
          <w:r>
            <w:instrText xml:space="preserve"> HYPERLINK \l "_Toc197201585" </w:instrText>
          </w:r>
          <w:r>
            <w:fldChar w:fldCharType="separate"/>
          </w:r>
          <w:r>
            <w:rPr>
              <w:rStyle w:val="16"/>
              <w:rFonts w:asciiTheme="minorEastAsia" w:hAnsiTheme="minorEastAsia"/>
              <w:sz w:val="28"/>
              <w:szCs w:val="28"/>
            </w:rPr>
            <w:t xml:space="preserve">4.2 </w:t>
          </w:r>
          <w:r>
            <w:rPr>
              <w:rStyle w:val="16"/>
              <w:rFonts w:hint="eastAsia" w:asciiTheme="minorEastAsia" w:hAnsiTheme="minorEastAsia"/>
              <w:sz w:val="28"/>
              <w:szCs w:val="28"/>
            </w:rPr>
            <w:t>升级智能化监测与绿色防控技术</w:t>
          </w:r>
          <w:r>
            <w:rPr>
              <w:rStyle w:val="16"/>
              <w:rFonts w:ascii="MS Mincho" w:hAnsi="MS Mincho" w:cs="MS Mincho"/>
              <w:sz w:val="28"/>
              <w:szCs w:val="28"/>
            </w:rPr>
            <w:t>​</w:t>
          </w:r>
          <w:r>
            <w:rPr>
              <w:rFonts w:asciiTheme="minorEastAsia" w:hAnsiTheme="minorEastAsia"/>
              <w:sz w:val="28"/>
              <w:szCs w:val="28"/>
            </w:rPr>
            <w:tab/>
          </w:r>
          <w:r>
            <w:rPr>
              <w:rFonts w:asciiTheme="minorEastAsia" w:hAnsiTheme="minorEastAsia"/>
              <w:sz w:val="28"/>
              <w:szCs w:val="28"/>
            </w:rPr>
            <w:fldChar w:fldCharType="begin"/>
          </w:r>
          <w:r>
            <w:rPr>
              <w:rFonts w:asciiTheme="minorEastAsia" w:hAnsiTheme="minorEastAsia"/>
              <w:sz w:val="28"/>
              <w:szCs w:val="28"/>
            </w:rPr>
            <w:instrText xml:space="preserve"> PAGEREF _Toc197201585 \h </w:instrText>
          </w:r>
          <w:r>
            <w:rPr>
              <w:rFonts w:asciiTheme="minorEastAsia" w:hAnsiTheme="minorEastAsia"/>
              <w:sz w:val="28"/>
              <w:szCs w:val="28"/>
            </w:rPr>
            <w:fldChar w:fldCharType="separate"/>
          </w:r>
          <w:r>
            <w:rPr>
              <w:rFonts w:asciiTheme="minorEastAsia" w:hAnsiTheme="minorEastAsia"/>
              <w:sz w:val="28"/>
              <w:szCs w:val="28"/>
            </w:rPr>
            <w:t>10</w:t>
          </w:r>
          <w:r>
            <w:rPr>
              <w:rFonts w:asciiTheme="minorEastAsia" w:hAnsiTheme="minorEastAsia"/>
              <w:sz w:val="28"/>
              <w:szCs w:val="28"/>
            </w:rPr>
            <w:fldChar w:fldCharType="end"/>
          </w:r>
          <w:r>
            <w:rPr>
              <w:rFonts w:asciiTheme="minorEastAsia" w:hAnsiTheme="minorEastAsia"/>
              <w:sz w:val="28"/>
              <w:szCs w:val="28"/>
            </w:rPr>
            <w:fldChar w:fldCharType="end"/>
          </w:r>
        </w:p>
        <w:p w14:paraId="16372817">
          <w:pPr>
            <w:pStyle w:val="6"/>
            <w:tabs>
              <w:tab w:val="right" w:leader="dot" w:pos="8778"/>
            </w:tabs>
            <w:ind w:firstLine="660" w:firstLineChars="300"/>
            <w:rPr>
              <w:rFonts w:asciiTheme="minorEastAsia" w:hAnsiTheme="minorEastAsia" w:cstheme="minorBidi"/>
              <w:kern w:val="2"/>
              <w:sz w:val="28"/>
              <w:szCs w:val="28"/>
            </w:rPr>
          </w:pPr>
          <w:r>
            <w:fldChar w:fldCharType="begin"/>
          </w:r>
          <w:r>
            <w:instrText xml:space="preserve"> HYPERLINK \l "_Toc197201586" </w:instrText>
          </w:r>
          <w:r>
            <w:fldChar w:fldCharType="separate"/>
          </w:r>
          <w:r>
            <w:rPr>
              <w:rStyle w:val="16"/>
              <w:rFonts w:asciiTheme="minorEastAsia" w:hAnsiTheme="minorEastAsia"/>
              <w:sz w:val="28"/>
              <w:szCs w:val="28"/>
            </w:rPr>
            <w:t xml:space="preserve">4.2.1 </w:t>
          </w:r>
          <w:r>
            <w:rPr>
              <w:rStyle w:val="16"/>
              <w:rFonts w:hint="eastAsia" w:asciiTheme="minorEastAsia" w:hAnsiTheme="minorEastAsia"/>
              <w:sz w:val="28"/>
              <w:szCs w:val="28"/>
            </w:rPr>
            <w:t>全仓智能监测网络建设</w:t>
          </w:r>
          <w:r>
            <w:rPr>
              <w:rStyle w:val="16"/>
              <w:rFonts w:ascii="MS Mincho" w:hAnsi="MS Mincho" w:cs="MS Mincho"/>
              <w:sz w:val="28"/>
              <w:szCs w:val="28"/>
            </w:rPr>
            <w:t>​</w:t>
          </w:r>
          <w:r>
            <w:rPr>
              <w:rFonts w:asciiTheme="minorEastAsia" w:hAnsiTheme="minorEastAsia"/>
              <w:sz w:val="28"/>
              <w:szCs w:val="28"/>
            </w:rPr>
            <w:tab/>
          </w:r>
          <w:r>
            <w:rPr>
              <w:rFonts w:asciiTheme="minorEastAsia" w:hAnsiTheme="minorEastAsia"/>
              <w:sz w:val="28"/>
              <w:szCs w:val="28"/>
            </w:rPr>
            <w:fldChar w:fldCharType="begin"/>
          </w:r>
          <w:r>
            <w:rPr>
              <w:rFonts w:asciiTheme="minorEastAsia" w:hAnsiTheme="minorEastAsia"/>
              <w:sz w:val="28"/>
              <w:szCs w:val="28"/>
            </w:rPr>
            <w:instrText xml:space="preserve"> PAGEREF _Toc197201586 \h </w:instrText>
          </w:r>
          <w:r>
            <w:rPr>
              <w:rFonts w:asciiTheme="minorEastAsia" w:hAnsiTheme="minorEastAsia"/>
              <w:sz w:val="28"/>
              <w:szCs w:val="28"/>
            </w:rPr>
            <w:fldChar w:fldCharType="separate"/>
          </w:r>
          <w:r>
            <w:rPr>
              <w:rFonts w:asciiTheme="minorEastAsia" w:hAnsiTheme="minorEastAsia"/>
              <w:sz w:val="28"/>
              <w:szCs w:val="28"/>
            </w:rPr>
            <w:t>10</w:t>
          </w:r>
          <w:r>
            <w:rPr>
              <w:rFonts w:asciiTheme="minorEastAsia" w:hAnsiTheme="minorEastAsia"/>
              <w:sz w:val="28"/>
              <w:szCs w:val="28"/>
            </w:rPr>
            <w:fldChar w:fldCharType="end"/>
          </w:r>
          <w:r>
            <w:rPr>
              <w:rFonts w:asciiTheme="minorEastAsia" w:hAnsiTheme="minorEastAsia"/>
              <w:sz w:val="28"/>
              <w:szCs w:val="28"/>
            </w:rPr>
            <w:fldChar w:fldCharType="end"/>
          </w:r>
        </w:p>
        <w:p w14:paraId="0EBA5EB1">
          <w:pPr>
            <w:pStyle w:val="6"/>
            <w:tabs>
              <w:tab w:val="right" w:leader="dot" w:pos="8778"/>
            </w:tabs>
            <w:ind w:firstLine="660" w:firstLineChars="300"/>
            <w:rPr>
              <w:rFonts w:asciiTheme="minorEastAsia" w:hAnsiTheme="minorEastAsia" w:cstheme="minorBidi"/>
              <w:kern w:val="2"/>
              <w:sz w:val="28"/>
              <w:szCs w:val="28"/>
            </w:rPr>
          </w:pPr>
          <w:r>
            <w:fldChar w:fldCharType="begin"/>
          </w:r>
          <w:r>
            <w:instrText xml:space="preserve"> HYPERLINK \l "_Toc197201587" </w:instrText>
          </w:r>
          <w:r>
            <w:fldChar w:fldCharType="separate"/>
          </w:r>
          <w:r>
            <w:rPr>
              <w:rStyle w:val="16"/>
              <w:rFonts w:asciiTheme="minorEastAsia" w:hAnsiTheme="minorEastAsia"/>
              <w:sz w:val="28"/>
              <w:szCs w:val="28"/>
            </w:rPr>
            <w:t xml:space="preserve">4.2.2 </w:t>
          </w:r>
          <w:r>
            <w:rPr>
              <w:rStyle w:val="16"/>
              <w:rFonts w:hint="eastAsia" w:asciiTheme="minorEastAsia" w:hAnsiTheme="minorEastAsia"/>
              <w:sz w:val="28"/>
              <w:szCs w:val="28"/>
            </w:rPr>
            <w:t>多元化绿色防控技术应用</w:t>
          </w:r>
          <w:r>
            <w:rPr>
              <w:rStyle w:val="16"/>
              <w:rFonts w:ascii="MS Mincho" w:hAnsi="MS Mincho" w:cs="MS Mincho"/>
              <w:sz w:val="28"/>
              <w:szCs w:val="28"/>
            </w:rPr>
            <w:t>​</w:t>
          </w:r>
          <w:r>
            <w:rPr>
              <w:rFonts w:asciiTheme="minorEastAsia" w:hAnsiTheme="minorEastAsia"/>
              <w:sz w:val="28"/>
              <w:szCs w:val="28"/>
            </w:rPr>
            <w:tab/>
          </w:r>
          <w:r>
            <w:rPr>
              <w:rFonts w:asciiTheme="minorEastAsia" w:hAnsiTheme="minorEastAsia"/>
              <w:sz w:val="28"/>
              <w:szCs w:val="28"/>
            </w:rPr>
            <w:fldChar w:fldCharType="begin"/>
          </w:r>
          <w:r>
            <w:rPr>
              <w:rFonts w:asciiTheme="minorEastAsia" w:hAnsiTheme="minorEastAsia"/>
              <w:sz w:val="28"/>
              <w:szCs w:val="28"/>
            </w:rPr>
            <w:instrText xml:space="preserve"> PAGEREF _Toc197201587 \h </w:instrText>
          </w:r>
          <w:r>
            <w:rPr>
              <w:rFonts w:asciiTheme="minorEastAsia" w:hAnsiTheme="minorEastAsia"/>
              <w:sz w:val="28"/>
              <w:szCs w:val="28"/>
            </w:rPr>
            <w:fldChar w:fldCharType="separate"/>
          </w:r>
          <w:r>
            <w:rPr>
              <w:rFonts w:asciiTheme="minorEastAsia" w:hAnsiTheme="minorEastAsia"/>
              <w:sz w:val="28"/>
              <w:szCs w:val="28"/>
            </w:rPr>
            <w:t>10</w:t>
          </w:r>
          <w:r>
            <w:rPr>
              <w:rFonts w:asciiTheme="minorEastAsia" w:hAnsiTheme="minorEastAsia"/>
              <w:sz w:val="28"/>
              <w:szCs w:val="28"/>
            </w:rPr>
            <w:fldChar w:fldCharType="end"/>
          </w:r>
          <w:r>
            <w:rPr>
              <w:rFonts w:asciiTheme="minorEastAsia" w:hAnsiTheme="minorEastAsia"/>
              <w:sz w:val="28"/>
              <w:szCs w:val="28"/>
            </w:rPr>
            <w:fldChar w:fldCharType="end"/>
          </w:r>
        </w:p>
        <w:p w14:paraId="7C2D2A74">
          <w:pPr>
            <w:pStyle w:val="11"/>
            <w:tabs>
              <w:tab w:val="right" w:leader="dot" w:pos="8778"/>
            </w:tabs>
            <w:ind w:firstLine="660" w:firstLineChars="300"/>
            <w:rPr>
              <w:rFonts w:asciiTheme="minorEastAsia" w:hAnsiTheme="minorEastAsia" w:cstheme="minorBidi"/>
              <w:kern w:val="2"/>
              <w:sz w:val="28"/>
              <w:szCs w:val="28"/>
            </w:rPr>
          </w:pPr>
          <w:r>
            <w:fldChar w:fldCharType="begin"/>
          </w:r>
          <w:r>
            <w:instrText xml:space="preserve"> HYPERLINK \l "_Toc197201588" </w:instrText>
          </w:r>
          <w:r>
            <w:fldChar w:fldCharType="separate"/>
          </w:r>
          <w:r>
            <w:rPr>
              <w:rStyle w:val="16"/>
              <w:rFonts w:asciiTheme="minorEastAsia" w:hAnsiTheme="minorEastAsia"/>
              <w:sz w:val="28"/>
              <w:szCs w:val="28"/>
            </w:rPr>
            <w:t xml:space="preserve">4.3 </w:t>
          </w:r>
          <w:r>
            <w:rPr>
              <w:rStyle w:val="16"/>
              <w:rFonts w:hint="eastAsia" w:asciiTheme="minorEastAsia" w:hAnsiTheme="minorEastAsia"/>
              <w:sz w:val="28"/>
              <w:szCs w:val="28"/>
            </w:rPr>
            <w:t>强化环境管理与人员能力建设</w:t>
          </w:r>
          <w:r>
            <w:rPr>
              <w:rStyle w:val="16"/>
              <w:rFonts w:ascii="MS Mincho" w:hAnsi="MS Mincho" w:cs="MS Mincho"/>
              <w:sz w:val="28"/>
              <w:szCs w:val="28"/>
            </w:rPr>
            <w:t>​</w:t>
          </w:r>
          <w:r>
            <w:rPr>
              <w:rFonts w:asciiTheme="minorEastAsia" w:hAnsiTheme="minorEastAsia"/>
              <w:sz w:val="28"/>
              <w:szCs w:val="28"/>
            </w:rPr>
            <w:tab/>
          </w:r>
          <w:r>
            <w:rPr>
              <w:rFonts w:asciiTheme="minorEastAsia" w:hAnsiTheme="minorEastAsia"/>
              <w:sz w:val="28"/>
              <w:szCs w:val="28"/>
            </w:rPr>
            <w:fldChar w:fldCharType="begin"/>
          </w:r>
          <w:r>
            <w:rPr>
              <w:rFonts w:asciiTheme="minorEastAsia" w:hAnsiTheme="minorEastAsia"/>
              <w:sz w:val="28"/>
              <w:szCs w:val="28"/>
            </w:rPr>
            <w:instrText xml:space="preserve"> PAGEREF _Toc197201588 \h </w:instrText>
          </w:r>
          <w:r>
            <w:rPr>
              <w:rFonts w:asciiTheme="minorEastAsia" w:hAnsiTheme="minorEastAsia"/>
              <w:sz w:val="28"/>
              <w:szCs w:val="28"/>
            </w:rPr>
            <w:fldChar w:fldCharType="separate"/>
          </w:r>
          <w:r>
            <w:rPr>
              <w:rFonts w:asciiTheme="minorEastAsia" w:hAnsiTheme="minorEastAsia"/>
              <w:sz w:val="28"/>
              <w:szCs w:val="28"/>
            </w:rPr>
            <w:t>11</w:t>
          </w:r>
          <w:r>
            <w:rPr>
              <w:rFonts w:asciiTheme="minorEastAsia" w:hAnsiTheme="minorEastAsia"/>
              <w:sz w:val="28"/>
              <w:szCs w:val="28"/>
            </w:rPr>
            <w:fldChar w:fldCharType="end"/>
          </w:r>
          <w:r>
            <w:rPr>
              <w:rFonts w:asciiTheme="minorEastAsia" w:hAnsiTheme="minorEastAsia"/>
              <w:sz w:val="28"/>
              <w:szCs w:val="28"/>
            </w:rPr>
            <w:fldChar w:fldCharType="end"/>
          </w:r>
        </w:p>
        <w:p w14:paraId="5F0959C7">
          <w:pPr>
            <w:pStyle w:val="6"/>
            <w:tabs>
              <w:tab w:val="right" w:leader="dot" w:pos="8778"/>
            </w:tabs>
            <w:ind w:firstLine="660" w:firstLineChars="300"/>
            <w:rPr>
              <w:rFonts w:asciiTheme="minorEastAsia" w:hAnsiTheme="minorEastAsia" w:cstheme="minorBidi"/>
              <w:kern w:val="2"/>
              <w:sz w:val="28"/>
              <w:szCs w:val="28"/>
            </w:rPr>
          </w:pPr>
          <w:r>
            <w:fldChar w:fldCharType="begin"/>
          </w:r>
          <w:r>
            <w:instrText xml:space="preserve"> HYPERLINK \l "_Toc197201589" </w:instrText>
          </w:r>
          <w:r>
            <w:fldChar w:fldCharType="separate"/>
          </w:r>
          <w:r>
            <w:rPr>
              <w:rStyle w:val="16"/>
              <w:rFonts w:asciiTheme="minorEastAsia" w:hAnsiTheme="minorEastAsia"/>
              <w:sz w:val="28"/>
              <w:szCs w:val="28"/>
            </w:rPr>
            <w:t xml:space="preserve">4.3.1 </w:t>
          </w:r>
          <w:r>
            <w:rPr>
              <w:rStyle w:val="16"/>
              <w:rFonts w:hint="eastAsia" w:asciiTheme="minorEastAsia" w:hAnsiTheme="minorEastAsia"/>
              <w:sz w:val="28"/>
              <w:szCs w:val="28"/>
            </w:rPr>
            <w:t>精细化环境管控措施</w:t>
          </w:r>
          <w:r>
            <w:rPr>
              <w:rStyle w:val="16"/>
              <w:rFonts w:ascii="MS Mincho" w:hAnsi="MS Mincho" w:cs="MS Mincho"/>
              <w:sz w:val="28"/>
              <w:szCs w:val="28"/>
            </w:rPr>
            <w:t>​</w:t>
          </w:r>
          <w:r>
            <w:rPr>
              <w:rFonts w:asciiTheme="minorEastAsia" w:hAnsiTheme="minorEastAsia"/>
              <w:sz w:val="28"/>
              <w:szCs w:val="28"/>
            </w:rPr>
            <w:tab/>
          </w:r>
          <w:r>
            <w:rPr>
              <w:rFonts w:asciiTheme="minorEastAsia" w:hAnsiTheme="minorEastAsia"/>
              <w:sz w:val="28"/>
              <w:szCs w:val="28"/>
            </w:rPr>
            <w:fldChar w:fldCharType="begin"/>
          </w:r>
          <w:r>
            <w:rPr>
              <w:rFonts w:asciiTheme="minorEastAsia" w:hAnsiTheme="minorEastAsia"/>
              <w:sz w:val="28"/>
              <w:szCs w:val="28"/>
            </w:rPr>
            <w:instrText xml:space="preserve"> PAGEREF _Toc197201589 \h </w:instrText>
          </w:r>
          <w:r>
            <w:rPr>
              <w:rFonts w:asciiTheme="minorEastAsia" w:hAnsiTheme="minorEastAsia"/>
              <w:sz w:val="28"/>
              <w:szCs w:val="28"/>
            </w:rPr>
            <w:fldChar w:fldCharType="separate"/>
          </w:r>
          <w:r>
            <w:rPr>
              <w:rFonts w:asciiTheme="minorEastAsia" w:hAnsiTheme="minorEastAsia"/>
              <w:sz w:val="28"/>
              <w:szCs w:val="28"/>
            </w:rPr>
            <w:t>11</w:t>
          </w:r>
          <w:r>
            <w:rPr>
              <w:rFonts w:asciiTheme="minorEastAsia" w:hAnsiTheme="minorEastAsia"/>
              <w:sz w:val="28"/>
              <w:szCs w:val="28"/>
            </w:rPr>
            <w:fldChar w:fldCharType="end"/>
          </w:r>
          <w:r>
            <w:rPr>
              <w:rFonts w:asciiTheme="minorEastAsia" w:hAnsiTheme="minorEastAsia"/>
              <w:sz w:val="28"/>
              <w:szCs w:val="28"/>
            </w:rPr>
            <w:fldChar w:fldCharType="end"/>
          </w:r>
        </w:p>
        <w:p w14:paraId="0226ED83">
          <w:pPr>
            <w:pStyle w:val="6"/>
            <w:tabs>
              <w:tab w:val="right" w:leader="dot" w:pos="8778"/>
            </w:tabs>
            <w:ind w:firstLine="660" w:firstLineChars="300"/>
            <w:rPr>
              <w:rFonts w:cstheme="minorBidi"/>
              <w:kern w:val="2"/>
              <w:sz w:val="21"/>
            </w:rPr>
          </w:pPr>
          <w:r>
            <w:fldChar w:fldCharType="begin"/>
          </w:r>
          <w:r>
            <w:instrText xml:space="preserve"> HYPERLINK \l "_Toc197201590" </w:instrText>
          </w:r>
          <w:r>
            <w:fldChar w:fldCharType="separate"/>
          </w:r>
          <w:r>
            <w:rPr>
              <w:rStyle w:val="16"/>
              <w:rFonts w:asciiTheme="minorEastAsia" w:hAnsiTheme="minorEastAsia"/>
              <w:sz w:val="28"/>
              <w:szCs w:val="28"/>
            </w:rPr>
            <w:t xml:space="preserve">4.3.2 </w:t>
          </w:r>
          <w:r>
            <w:rPr>
              <w:rStyle w:val="16"/>
              <w:rFonts w:hint="eastAsia" w:asciiTheme="minorEastAsia" w:hAnsiTheme="minorEastAsia"/>
              <w:sz w:val="28"/>
              <w:szCs w:val="28"/>
            </w:rPr>
            <w:t>分层级人员培训体系</w:t>
          </w:r>
          <w:r>
            <w:rPr>
              <w:rStyle w:val="16"/>
              <w:rFonts w:ascii="MS Mincho" w:hAnsi="MS Mincho" w:cs="MS Mincho"/>
              <w:sz w:val="28"/>
              <w:szCs w:val="28"/>
            </w:rPr>
            <w:t>​</w:t>
          </w:r>
          <w:r>
            <w:rPr>
              <w:rFonts w:asciiTheme="minorEastAsia" w:hAnsiTheme="minorEastAsia"/>
              <w:sz w:val="28"/>
              <w:szCs w:val="28"/>
            </w:rPr>
            <w:tab/>
          </w:r>
          <w:r>
            <w:rPr>
              <w:rFonts w:asciiTheme="minorEastAsia" w:hAnsiTheme="minorEastAsia"/>
              <w:sz w:val="28"/>
              <w:szCs w:val="28"/>
            </w:rPr>
            <w:fldChar w:fldCharType="begin"/>
          </w:r>
          <w:r>
            <w:rPr>
              <w:rFonts w:asciiTheme="minorEastAsia" w:hAnsiTheme="minorEastAsia"/>
              <w:sz w:val="28"/>
              <w:szCs w:val="28"/>
            </w:rPr>
            <w:instrText xml:space="preserve"> PAGEREF _Toc197201590 \h </w:instrText>
          </w:r>
          <w:r>
            <w:rPr>
              <w:rFonts w:asciiTheme="minorEastAsia" w:hAnsiTheme="minorEastAsia"/>
              <w:sz w:val="28"/>
              <w:szCs w:val="28"/>
            </w:rPr>
            <w:fldChar w:fldCharType="separate"/>
          </w:r>
          <w:r>
            <w:rPr>
              <w:rFonts w:asciiTheme="minorEastAsia" w:hAnsiTheme="minorEastAsia"/>
              <w:sz w:val="28"/>
              <w:szCs w:val="28"/>
            </w:rPr>
            <w:t>11</w:t>
          </w:r>
          <w:r>
            <w:rPr>
              <w:rFonts w:asciiTheme="minorEastAsia" w:hAnsiTheme="minorEastAsia"/>
              <w:sz w:val="28"/>
              <w:szCs w:val="28"/>
            </w:rPr>
            <w:fldChar w:fldCharType="end"/>
          </w:r>
          <w:r>
            <w:rPr>
              <w:rFonts w:asciiTheme="minorEastAsia" w:hAnsiTheme="minorEastAsia"/>
              <w:sz w:val="28"/>
              <w:szCs w:val="28"/>
            </w:rPr>
            <w:fldChar w:fldCharType="end"/>
          </w:r>
        </w:p>
        <w:p w14:paraId="7A6FB84E">
          <w:pPr>
            <w:pStyle w:val="11"/>
            <w:tabs>
              <w:tab w:val="right" w:leader="dot" w:pos="8778"/>
            </w:tabs>
            <w:ind w:firstLine="660" w:firstLineChars="300"/>
            <w:rPr>
              <w:rFonts w:cstheme="minorBidi"/>
              <w:kern w:val="2"/>
              <w:sz w:val="21"/>
            </w:rPr>
          </w:pPr>
          <w:r>
            <w:fldChar w:fldCharType="begin"/>
          </w:r>
          <w:r>
            <w:instrText xml:space="preserve"> HYPERLINK \l "_Toc197201591" </w:instrText>
          </w:r>
          <w:r>
            <w:fldChar w:fldCharType="separate"/>
          </w:r>
          <w:r>
            <w:rPr>
              <w:rStyle w:val="16"/>
              <w:rFonts w:asciiTheme="minorEastAsia" w:hAnsiTheme="minorEastAsia"/>
              <w:sz w:val="28"/>
              <w:szCs w:val="28"/>
            </w:rPr>
            <w:t xml:space="preserve">4.4 </w:t>
          </w:r>
          <w:r>
            <w:rPr>
              <w:rStyle w:val="16"/>
              <w:rFonts w:hint="eastAsia" w:asciiTheme="minorEastAsia" w:hAnsiTheme="minorEastAsia"/>
              <w:sz w:val="28"/>
              <w:szCs w:val="28"/>
            </w:rPr>
            <w:t>完善管理机制与应急响应</w:t>
          </w:r>
          <w:r>
            <w:rPr>
              <w:rStyle w:val="16"/>
              <w:rFonts w:hint="eastAsia" w:ascii="MS Mincho" w:hAnsi="MS Mincho" w:eastAsia="MS Mincho" w:cs="MS Mincho"/>
              <w:sz w:val="28"/>
              <w:szCs w:val="28"/>
            </w:rPr>
            <w:t>​</w:t>
          </w:r>
          <w:r>
            <w:tab/>
          </w:r>
          <w:r>
            <w:fldChar w:fldCharType="begin"/>
          </w:r>
          <w:r>
            <w:instrText xml:space="preserve"> PAGEREF _Toc197201591 \h </w:instrText>
          </w:r>
          <w:r>
            <w:fldChar w:fldCharType="separate"/>
          </w:r>
          <w:r>
            <w:t>12</w:t>
          </w:r>
          <w:r>
            <w:fldChar w:fldCharType="end"/>
          </w:r>
          <w:r>
            <w:fldChar w:fldCharType="end"/>
          </w:r>
        </w:p>
        <w:p w14:paraId="0CA5E192">
          <w:pPr>
            <w:pStyle w:val="6"/>
            <w:tabs>
              <w:tab w:val="right" w:leader="dot" w:pos="8778"/>
            </w:tabs>
            <w:ind w:firstLine="660" w:firstLineChars="300"/>
            <w:rPr>
              <w:rFonts w:asciiTheme="minorEastAsia" w:hAnsiTheme="minorEastAsia" w:cstheme="minorBidi"/>
              <w:kern w:val="2"/>
              <w:sz w:val="28"/>
              <w:szCs w:val="28"/>
            </w:rPr>
          </w:pPr>
          <w:r>
            <w:fldChar w:fldCharType="begin"/>
          </w:r>
          <w:r>
            <w:instrText xml:space="preserve"> HYPERLINK \l "_Toc197201592" </w:instrText>
          </w:r>
          <w:r>
            <w:fldChar w:fldCharType="separate"/>
          </w:r>
          <w:r>
            <w:rPr>
              <w:rStyle w:val="16"/>
              <w:rFonts w:asciiTheme="minorEastAsia" w:hAnsiTheme="minorEastAsia"/>
              <w:sz w:val="28"/>
              <w:szCs w:val="28"/>
            </w:rPr>
            <w:t xml:space="preserve">4.4.1 </w:t>
          </w:r>
          <w:r>
            <w:rPr>
              <w:rStyle w:val="16"/>
              <w:rFonts w:hint="eastAsia" w:asciiTheme="minorEastAsia" w:hAnsiTheme="minorEastAsia"/>
              <w:sz w:val="28"/>
              <w:szCs w:val="28"/>
            </w:rPr>
            <w:t>跨部门协同与责任划分</w:t>
          </w:r>
          <w:r>
            <w:rPr>
              <w:rStyle w:val="16"/>
              <w:rFonts w:hint="eastAsia" w:ascii="MS Mincho" w:hAnsi="MS Mincho" w:eastAsia="MS Mincho" w:cs="MS Mincho"/>
              <w:sz w:val="28"/>
              <w:szCs w:val="28"/>
            </w:rPr>
            <w:t>​</w:t>
          </w:r>
          <w:r>
            <w:rPr>
              <w:rFonts w:asciiTheme="minorEastAsia" w:hAnsiTheme="minorEastAsia"/>
              <w:sz w:val="28"/>
              <w:szCs w:val="28"/>
            </w:rPr>
            <w:tab/>
          </w:r>
          <w:r>
            <w:rPr>
              <w:rFonts w:asciiTheme="minorEastAsia" w:hAnsiTheme="minorEastAsia"/>
              <w:sz w:val="28"/>
              <w:szCs w:val="28"/>
            </w:rPr>
            <w:fldChar w:fldCharType="begin"/>
          </w:r>
          <w:r>
            <w:rPr>
              <w:rFonts w:asciiTheme="minorEastAsia" w:hAnsiTheme="minorEastAsia"/>
              <w:sz w:val="28"/>
              <w:szCs w:val="28"/>
            </w:rPr>
            <w:instrText xml:space="preserve"> PAGEREF _Toc197201592 \h </w:instrText>
          </w:r>
          <w:r>
            <w:rPr>
              <w:rFonts w:asciiTheme="minorEastAsia" w:hAnsiTheme="minorEastAsia"/>
              <w:sz w:val="28"/>
              <w:szCs w:val="28"/>
            </w:rPr>
            <w:fldChar w:fldCharType="separate"/>
          </w:r>
          <w:r>
            <w:rPr>
              <w:rFonts w:asciiTheme="minorEastAsia" w:hAnsiTheme="minorEastAsia"/>
              <w:sz w:val="28"/>
              <w:szCs w:val="28"/>
            </w:rPr>
            <w:t>12</w:t>
          </w:r>
          <w:r>
            <w:rPr>
              <w:rFonts w:asciiTheme="minorEastAsia" w:hAnsiTheme="minorEastAsia"/>
              <w:sz w:val="28"/>
              <w:szCs w:val="28"/>
            </w:rPr>
            <w:fldChar w:fldCharType="end"/>
          </w:r>
          <w:r>
            <w:rPr>
              <w:rFonts w:asciiTheme="minorEastAsia" w:hAnsiTheme="minorEastAsia"/>
              <w:sz w:val="28"/>
              <w:szCs w:val="28"/>
            </w:rPr>
            <w:fldChar w:fldCharType="end"/>
          </w:r>
        </w:p>
        <w:p w14:paraId="509EC318">
          <w:pPr>
            <w:pStyle w:val="6"/>
            <w:tabs>
              <w:tab w:val="right" w:leader="dot" w:pos="8778"/>
            </w:tabs>
            <w:ind w:firstLine="880" w:firstLineChars="400"/>
            <w:rPr>
              <w:rFonts w:cstheme="minorBidi"/>
              <w:kern w:val="2"/>
              <w:sz w:val="21"/>
            </w:rPr>
          </w:pPr>
          <w:r>
            <w:fldChar w:fldCharType="begin"/>
          </w:r>
          <w:r>
            <w:instrText xml:space="preserve"> HYPERLINK \l "_Toc197201593" </w:instrText>
          </w:r>
          <w:r>
            <w:fldChar w:fldCharType="separate"/>
          </w:r>
          <w:r>
            <w:rPr>
              <w:rStyle w:val="16"/>
              <w:rFonts w:asciiTheme="minorEastAsia" w:hAnsiTheme="minorEastAsia"/>
              <w:sz w:val="28"/>
              <w:szCs w:val="28"/>
            </w:rPr>
            <w:t xml:space="preserve">4.4.2 </w:t>
          </w:r>
          <w:r>
            <w:rPr>
              <w:rStyle w:val="16"/>
              <w:rFonts w:hint="eastAsia" w:asciiTheme="minorEastAsia" w:hAnsiTheme="minorEastAsia"/>
              <w:sz w:val="28"/>
              <w:szCs w:val="28"/>
            </w:rPr>
            <w:t>动态评估与应急预案优化</w:t>
          </w:r>
          <w:r>
            <w:rPr>
              <w:rStyle w:val="16"/>
              <w:rFonts w:hint="eastAsia" w:ascii="MS Mincho" w:hAnsi="MS Mincho" w:eastAsia="MS Mincho" w:cs="MS Mincho"/>
              <w:sz w:val="28"/>
              <w:szCs w:val="28"/>
            </w:rPr>
            <w:t>​</w:t>
          </w:r>
          <w:r>
            <w:tab/>
          </w:r>
          <w:r>
            <w:fldChar w:fldCharType="begin"/>
          </w:r>
          <w:r>
            <w:instrText xml:space="preserve"> PAGEREF _Toc197201593 \h </w:instrText>
          </w:r>
          <w:r>
            <w:fldChar w:fldCharType="separate"/>
          </w:r>
          <w:r>
            <w:t>12</w:t>
          </w:r>
          <w:r>
            <w:fldChar w:fldCharType="end"/>
          </w:r>
          <w:r>
            <w:fldChar w:fldCharType="end"/>
          </w:r>
        </w:p>
        <w:p w14:paraId="67AAF5B3">
          <w:pPr>
            <w:pStyle w:val="10"/>
            <w:tabs>
              <w:tab w:val="right" w:leader="dot" w:pos="8778"/>
            </w:tabs>
            <w:ind w:firstLine="440" w:firstLineChars="200"/>
            <w:rPr>
              <w:rFonts w:cstheme="minorBidi"/>
              <w:kern w:val="2"/>
              <w:sz w:val="21"/>
            </w:rPr>
          </w:pPr>
          <w:r>
            <w:fldChar w:fldCharType="begin"/>
          </w:r>
          <w:r>
            <w:instrText xml:space="preserve"> HYPERLINK \l "_Toc197201594" </w:instrText>
          </w:r>
          <w:r>
            <w:fldChar w:fldCharType="separate"/>
          </w:r>
          <w:r>
            <w:rPr>
              <w:rStyle w:val="16"/>
              <w:rFonts w:hint="eastAsia" w:asciiTheme="minorEastAsia" w:hAnsiTheme="minorEastAsia"/>
              <w:sz w:val="30"/>
              <w:szCs w:val="30"/>
            </w:rPr>
            <w:t>第五章</w:t>
          </w:r>
          <w:r>
            <w:rPr>
              <w:rStyle w:val="16"/>
              <w:rFonts w:asciiTheme="minorEastAsia" w:hAnsiTheme="minorEastAsia"/>
              <w:sz w:val="30"/>
              <w:szCs w:val="30"/>
            </w:rPr>
            <w:t xml:space="preserve"> </w:t>
          </w:r>
          <w:r>
            <w:rPr>
              <w:rStyle w:val="16"/>
              <w:rFonts w:hint="eastAsia" w:asciiTheme="minorEastAsia" w:hAnsiTheme="minorEastAsia"/>
              <w:sz w:val="30"/>
              <w:szCs w:val="30"/>
            </w:rPr>
            <w:t>结论与展望</w:t>
          </w:r>
          <w:r>
            <w:tab/>
          </w:r>
          <w:r>
            <w:fldChar w:fldCharType="begin"/>
          </w:r>
          <w:r>
            <w:instrText xml:space="preserve"> PAGEREF _Toc197201594 \h </w:instrText>
          </w:r>
          <w:r>
            <w:fldChar w:fldCharType="separate"/>
          </w:r>
          <w:r>
            <w:t>14</w:t>
          </w:r>
          <w:r>
            <w:fldChar w:fldCharType="end"/>
          </w:r>
          <w:r>
            <w:fldChar w:fldCharType="end"/>
          </w:r>
        </w:p>
        <w:p w14:paraId="5EBCA05D">
          <w:pPr>
            <w:pStyle w:val="11"/>
            <w:tabs>
              <w:tab w:val="right" w:leader="dot" w:pos="8778"/>
            </w:tabs>
            <w:ind w:firstLine="660" w:firstLineChars="300"/>
            <w:rPr>
              <w:rFonts w:cstheme="minorBidi"/>
              <w:kern w:val="2"/>
              <w:sz w:val="21"/>
            </w:rPr>
          </w:pPr>
          <w:r>
            <w:fldChar w:fldCharType="begin"/>
          </w:r>
          <w:r>
            <w:instrText xml:space="preserve"> HYPERLINK \l "_Toc197201595" </w:instrText>
          </w:r>
          <w:r>
            <w:fldChar w:fldCharType="separate"/>
          </w:r>
          <w:r>
            <w:rPr>
              <w:rStyle w:val="16"/>
              <w:rFonts w:asciiTheme="minorEastAsia" w:hAnsiTheme="minorEastAsia"/>
              <w:sz w:val="28"/>
              <w:szCs w:val="28"/>
            </w:rPr>
            <w:t xml:space="preserve">5.1 </w:t>
          </w:r>
          <w:r>
            <w:rPr>
              <w:rStyle w:val="16"/>
              <w:rFonts w:hint="eastAsia" w:asciiTheme="minorEastAsia" w:hAnsiTheme="minorEastAsia"/>
              <w:sz w:val="28"/>
              <w:szCs w:val="28"/>
            </w:rPr>
            <w:t>研究结论</w:t>
          </w:r>
          <w:r>
            <w:rPr>
              <w:rStyle w:val="16"/>
              <w:rFonts w:hint="eastAsia" w:ascii="MS Mincho" w:hAnsi="MS Mincho" w:eastAsia="MS Mincho" w:cs="MS Mincho"/>
              <w:sz w:val="28"/>
              <w:szCs w:val="28"/>
            </w:rPr>
            <w:t>​</w:t>
          </w:r>
          <w:r>
            <w:tab/>
          </w:r>
          <w:r>
            <w:fldChar w:fldCharType="begin"/>
          </w:r>
          <w:r>
            <w:instrText xml:space="preserve"> PAGEREF _Toc197201595 \h </w:instrText>
          </w:r>
          <w:r>
            <w:fldChar w:fldCharType="separate"/>
          </w:r>
          <w:r>
            <w:t>14</w:t>
          </w:r>
          <w:r>
            <w:fldChar w:fldCharType="end"/>
          </w:r>
          <w:r>
            <w:fldChar w:fldCharType="end"/>
          </w:r>
        </w:p>
        <w:p w14:paraId="33B3B7D7">
          <w:pPr>
            <w:pStyle w:val="11"/>
            <w:tabs>
              <w:tab w:val="right" w:leader="dot" w:pos="8778"/>
            </w:tabs>
            <w:ind w:firstLine="660" w:firstLineChars="300"/>
            <w:rPr>
              <w:rFonts w:cstheme="minorBidi"/>
              <w:kern w:val="2"/>
              <w:sz w:val="21"/>
            </w:rPr>
          </w:pPr>
          <w:r>
            <w:fldChar w:fldCharType="begin"/>
          </w:r>
          <w:r>
            <w:instrText xml:space="preserve"> HYPERLINK \l "_Toc197201596" </w:instrText>
          </w:r>
          <w:r>
            <w:fldChar w:fldCharType="separate"/>
          </w:r>
          <w:r>
            <w:rPr>
              <w:rStyle w:val="16"/>
              <w:rFonts w:asciiTheme="minorEastAsia" w:hAnsiTheme="minorEastAsia"/>
              <w:sz w:val="28"/>
              <w:szCs w:val="28"/>
            </w:rPr>
            <w:t xml:space="preserve">5.2 </w:t>
          </w:r>
          <w:r>
            <w:rPr>
              <w:rStyle w:val="16"/>
              <w:rFonts w:hint="eastAsia" w:asciiTheme="minorEastAsia" w:hAnsiTheme="minorEastAsia"/>
              <w:sz w:val="28"/>
              <w:szCs w:val="28"/>
            </w:rPr>
            <w:t>未来展望</w:t>
          </w:r>
          <w:r>
            <w:rPr>
              <w:rStyle w:val="16"/>
              <w:rFonts w:ascii="MS Mincho" w:hAnsi="MS Mincho" w:eastAsia="MS Mincho" w:cs="MS Mincho"/>
            </w:rPr>
            <w:t>​</w:t>
          </w:r>
          <w:r>
            <w:tab/>
          </w:r>
          <w:r>
            <w:fldChar w:fldCharType="begin"/>
          </w:r>
          <w:r>
            <w:instrText xml:space="preserve"> PAGEREF _Toc197201596 \h </w:instrText>
          </w:r>
          <w:r>
            <w:fldChar w:fldCharType="separate"/>
          </w:r>
          <w:r>
            <w:t>14</w:t>
          </w:r>
          <w:r>
            <w:fldChar w:fldCharType="end"/>
          </w:r>
          <w:r>
            <w:fldChar w:fldCharType="end"/>
          </w:r>
        </w:p>
        <w:p w14:paraId="18DAB87E">
          <w:pPr>
            <w:pStyle w:val="10"/>
            <w:tabs>
              <w:tab w:val="right" w:leader="dot" w:pos="8778"/>
            </w:tabs>
            <w:ind w:firstLine="440" w:firstLineChars="200"/>
            <w:rPr>
              <w:rFonts w:cstheme="minorBidi"/>
              <w:kern w:val="2"/>
              <w:sz w:val="21"/>
            </w:rPr>
          </w:pPr>
          <w:r>
            <w:fldChar w:fldCharType="begin"/>
          </w:r>
          <w:r>
            <w:instrText xml:space="preserve"> HYPERLINK \l "_Toc197201597" </w:instrText>
          </w:r>
          <w:r>
            <w:fldChar w:fldCharType="separate"/>
          </w:r>
          <w:r>
            <w:rPr>
              <w:rStyle w:val="16"/>
              <w:rFonts w:hint="eastAsia" w:cs="黑体" w:asciiTheme="minorEastAsia" w:hAnsiTheme="minorEastAsia"/>
              <w:sz w:val="30"/>
              <w:szCs w:val="30"/>
            </w:rPr>
            <w:t>致</w:t>
          </w:r>
          <w:r>
            <w:rPr>
              <w:rStyle w:val="16"/>
              <w:rFonts w:cs="黑体" w:asciiTheme="minorEastAsia" w:hAnsiTheme="minorEastAsia"/>
              <w:sz w:val="30"/>
              <w:szCs w:val="30"/>
            </w:rPr>
            <w:t xml:space="preserve"> </w:t>
          </w:r>
          <w:r>
            <w:rPr>
              <w:rStyle w:val="16"/>
              <w:rFonts w:hint="eastAsia" w:cs="黑体" w:asciiTheme="minorEastAsia" w:hAnsiTheme="minorEastAsia"/>
              <w:sz w:val="30"/>
              <w:szCs w:val="30"/>
            </w:rPr>
            <w:t>谢</w:t>
          </w:r>
          <w:r>
            <w:tab/>
          </w:r>
          <w:r>
            <w:fldChar w:fldCharType="begin"/>
          </w:r>
          <w:r>
            <w:instrText xml:space="preserve"> PAGEREF _Toc197201597 \h </w:instrText>
          </w:r>
          <w:r>
            <w:fldChar w:fldCharType="separate"/>
          </w:r>
          <w:r>
            <w:t>16</w:t>
          </w:r>
          <w:r>
            <w:fldChar w:fldCharType="end"/>
          </w:r>
          <w:r>
            <w:fldChar w:fldCharType="end"/>
          </w:r>
        </w:p>
        <w:p w14:paraId="59150658">
          <w:pPr>
            <w:pStyle w:val="11"/>
            <w:tabs>
              <w:tab w:val="right" w:leader="dot" w:pos="8778"/>
            </w:tabs>
            <w:ind w:firstLine="220" w:firstLineChars="100"/>
            <w:rPr>
              <w:rFonts w:cstheme="minorBidi"/>
              <w:kern w:val="2"/>
              <w:sz w:val="21"/>
            </w:rPr>
          </w:pPr>
          <w:r>
            <w:fldChar w:fldCharType="begin"/>
          </w:r>
          <w:r>
            <w:instrText xml:space="preserve"> HYPERLINK \l "_Toc197201598" </w:instrText>
          </w:r>
          <w:r>
            <w:fldChar w:fldCharType="separate"/>
          </w:r>
          <w:r>
            <w:rPr>
              <w:rStyle w:val="16"/>
              <w:rFonts w:hint="eastAsia" w:asciiTheme="minorEastAsia" w:hAnsiTheme="minorEastAsia"/>
              <w:sz w:val="30"/>
              <w:szCs w:val="30"/>
            </w:rPr>
            <w:t>参考文献</w:t>
          </w:r>
          <w:r>
            <w:tab/>
          </w:r>
          <w:r>
            <w:fldChar w:fldCharType="begin"/>
          </w:r>
          <w:r>
            <w:instrText xml:space="preserve"> PAGEREF _Toc197201598 \h </w:instrText>
          </w:r>
          <w:r>
            <w:fldChar w:fldCharType="separate"/>
          </w:r>
          <w:r>
            <w:t>17</w:t>
          </w:r>
          <w:r>
            <w:fldChar w:fldCharType="end"/>
          </w:r>
          <w:r>
            <w:fldChar w:fldCharType="end"/>
          </w:r>
        </w:p>
        <w:p w14:paraId="25B2E3B2">
          <w:r>
            <w:rPr>
              <w:b/>
              <w:bCs/>
              <w:lang w:val="zh-CN"/>
            </w:rPr>
            <w:fldChar w:fldCharType="end"/>
          </w:r>
        </w:p>
      </w:sdtContent>
    </w:sdt>
    <w:p w14:paraId="4B3C9E89">
      <w:pPr>
        <w:pStyle w:val="2"/>
        <w:spacing w:before="0" w:after="0" w:line="300" w:lineRule="auto"/>
        <w:ind w:firstLine="600" w:firstLineChars="200"/>
        <w:jc w:val="center"/>
        <w:rPr>
          <w:rFonts w:ascii="黑体" w:hAnsi="黑体" w:eastAsia="黑体"/>
          <w:b w:val="0"/>
          <w:sz w:val="30"/>
          <w:szCs w:val="30"/>
        </w:rPr>
      </w:pPr>
      <w:bookmarkStart w:id="2" w:name="_Toc197201564"/>
      <w:r>
        <w:rPr>
          <w:rFonts w:hint="eastAsia" w:ascii="黑体" w:hAnsi="黑体" w:eastAsia="黑体"/>
          <w:b w:val="0"/>
          <w:sz w:val="30"/>
          <w:szCs w:val="30"/>
        </w:rPr>
        <w:t>第一章</w:t>
      </w:r>
      <w:r>
        <w:rPr>
          <w:rFonts w:ascii="黑体" w:hAnsi="黑体" w:eastAsia="黑体"/>
          <w:b w:val="0"/>
          <w:sz w:val="30"/>
          <w:szCs w:val="30"/>
        </w:rPr>
        <w:t xml:space="preserve">  </w:t>
      </w:r>
      <w:r>
        <w:rPr>
          <w:rFonts w:hint="eastAsia" w:ascii="黑体" w:hAnsi="黑体" w:eastAsia="黑体"/>
          <w:b w:val="0"/>
          <w:sz w:val="30"/>
          <w:szCs w:val="30"/>
        </w:rPr>
        <w:t>绪论</w:t>
      </w:r>
      <w:bookmarkEnd w:id="1"/>
      <w:bookmarkEnd w:id="2"/>
    </w:p>
    <w:p w14:paraId="3C207A03">
      <w:pPr>
        <w:pStyle w:val="3"/>
        <w:spacing w:line="300" w:lineRule="auto"/>
        <w:ind w:firstLine="560" w:firstLineChars="200"/>
        <w:rPr>
          <w:rStyle w:val="24"/>
          <w:rFonts w:ascii="黑体" w:hAnsi="黑体" w:eastAsia="黑体"/>
          <w:b w:val="0"/>
          <w:szCs w:val="28"/>
        </w:rPr>
      </w:pPr>
      <w:bookmarkStart w:id="3" w:name="_Toc118985591"/>
      <w:bookmarkStart w:id="4" w:name="_Toc197201565"/>
      <w:r>
        <w:rPr>
          <w:rStyle w:val="24"/>
          <w:rFonts w:hint="eastAsia" w:ascii="黑体" w:hAnsi="黑体" w:eastAsia="黑体"/>
          <w:b w:val="0"/>
          <w:szCs w:val="28"/>
        </w:rPr>
        <w:t>1</w:t>
      </w:r>
      <w:r>
        <w:rPr>
          <w:rStyle w:val="24"/>
          <w:rFonts w:ascii="黑体" w:hAnsi="黑体" w:eastAsia="黑体"/>
          <w:b w:val="0"/>
          <w:szCs w:val="28"/>
        </w:rPr>
        <w:t xml:space="preserve">.1 </w:t>
      </w:r>
      <w:r>
        <w:rPr>
          <w:rStyle w:val="24"/>
          <w:rFonts w:hint="eastAsia" w:ascii="黑体" w:hAnsi="黑体" w:eastAsia="黑体"/>
          <w:b w:val="0"/>
          <w:szCs w:val="28"/>
        </w:rPr>
        <w:t>研究意义</w:t>
      </w:r>
      <w:bookmarkEnd w:id="3"/>
      <w:bookmarkEnd w:id="4"/>
    </w:p>
    <w:p w14:paraId="2F9A66D1">
      <w:pPr>
        <w:spacing w:line="300" w:lineRule="auto"/>
        <w:ind w:firstLine="480" w:firstLineChars="200"/>
        <w:rPr>
          <w:rFonts w:asciiTheme="minorEastAsia" w:hAnsiTheme="minorEastAsia"/>
          <w:sz w:val="24"/>
        </w:rPr>
      </w:pPr>
      <w:bookmarkStart w:id="5" w:name="_Toc118985592"/>
      <w:r>
        <w:rPr>
          <w:rFonts w:asciiTheme="minorEastAsia" w:hAnsiTheme="minorEastAsia"/>
          <w:sz w:val="24"/>
        </w:rPr>
        <w:t>在现代物流行业蓬勃发展的大背景下，仓储环节作为物流供应链的关键节点，其重要性不言而喻。随着仓储规模的不断扩大以及存储货物种类的日益繁杂，虫害问题逐渐成为仓储管理中亟待解决的难题。仓储虫害不仅会对货物造成直接的物理损害，导致商品变质、损坏，严重影响商品质量，还可能引发一系列连锁反应，如增加企业运营成本、降低客户满意度，甚至对企业的声誉造成负面影响。京东作为国内电商行业的领军企业，其仓储物流体系庞大且复杂。截至目前，京东在全国范围内拥有众多大型仓库，这些仓库分布广泛，涵盖了不同的地理区域和气候条件，存储的商品种类更是琳琅满目，包括食品、服装、电子产品、日用品等各类商品。如此庞大的仓储规模和复杂的存储品类，使得京东仓库面临着严峻的虫害防治挑战。一旦发生虫害问题，其影响范围之广、损失之大难以估量。以2023年发生在京东广州仓的一起虫害事件为例，该仓库存储的90袋大米中，竟有38袋出现生虫现象。这一事件不仅直接导致了大量大米无法正常销售，给企业带来了直接的经济损失，还引发了消费者的强烈不满和投诉，对京东的品牌形象造成了严重的损害。据不完全统计，此次事件中，京东因大米损失、客户赔偿以及品牌声誉受损等方面的综合损失高达数十万元。这一案例充分凸显了京东仓库虫害防治工作的紧迫性和重要性，也为整个行业敲响了警钟。</w:t>
      </w:r>
    </w:p>
    <w:bookmarkEnd w:id="5"/>
    <w:p w14:paraId="772CB1C0">
      <w:pPr>
        <w:pStyle w:val="3"/>
        <w:spacing w:line="300" w:lineRule="auto"/>
        <w:ind w:firstLine="560" w:firstLineChars="200"/>
        <w:rPr>
          <w:rFonts w:ascii="黑体" w:hAnsi="黑体" w:eastAsia="黑体"/>
          <w:b w:val="0"/>
        </w:rPr>
      </w:pPr>
      <w:bookmarkStart w:id="6" w:name="_Toc197201566"/>
      <w:r>
        <w:rPr>
          <w:rFonts w:ascii="黑体" w:hAnsi="黑体" w:eastAsia="黑体"/>
          <w:b w:val="0"/>
        </w:rPr>
        <w:t>1.2研究目标与方法</w:t>
      </w:r>
      <w:bookmarkEnd w:id="6"/>
    </w:p>
    <w:p w14:paraId="778770E1">
      <w:pPr>
        <w:spacing w:line="300" w:lineRule="auto"/>
        <w:ind w:firstLine="480" w:firstLineChars="200"/>
        <w:rPr>
          <w:rFonts w:asciiTheme="minorEastAsia" w:hAnsiTheme="minorEastAsia"/>
          <w:sz w:val="24"/>
        </w:rPr>
      </w:pPr>
      <w:r>
        <w:rPr>
          <w:rFonts w:asciiTheme="minorEastAsia" w:hAnsiTheme="minorEastAsia"/>
          <w:sz w:val="24"/>
        </w:rPr>
        <w:t>本研究旨在通过对京东仓库虫害问题的深入分析，结合物流仓储领域的相关理论和实践经验，构建一套科学、系统、有效的虫害防治方案。该方案将涵盖环境控制、技术应用、管理体系等多个维度，力求实现对虫害的全方位预防、实时监测和高效治理，从而最大程度地降低虫害对京东仓库货物的危害，保障仓储货物的质量安全，提升京东仓储物流的运营效率和服务水平。</w:t>
      </w:r>
    </w:p>
    <w:p w14:paraId="7F02851A">
      <w:pPr>
        <w:spacing w:line="300" w:lineRule="auto"/>
        <w:ind w:firstLine="480" w:firstLineChars="200"/>
        <w:rPr>
          <w:rFonts w:asciiTheme="minorEastAsia" w:hAnsiTheme="minorEastAsia"/>
          <w:sz w:val="24"/>
        </w:rPr>
      </w:pPr>
      <w:r>
        <w:rPr>
          <w:rFonts w:asciiTheme="minorEastAsia" w:hAnsiTheme="minorEastAsia"/>
          <w:sz w:val="24"/>
        </w:rPr>
        <w:t>在研究方法上，本论文主要采用了以下几种方法：</w:t>
      </w:r>
    </w:p>
    <w:p w14:paraId="51AA257D">
      <w:pPr>
        <w:spacing w:line="300" w:lineRule="auto"/>
        <w:ind w:firstLine="480" w:firstLineChars="200"/>
        <w:rPr>
          <w:rFonts w:asciiTheme="minorEastAsia" w:hAnsiTheme="minorEastAsia"/>
          <w:sz w:val="24"/>
        </w:rPr>
      </w:pPr>
      <w:r>
        <w:rPr>
          <w:rFonts w:asciiTheme="minorEastAsia" w:hAnsiTheme="minorEastAsia"/>
          <w:sz w:val="24"/>
        </w:rPr>
        <w:t>文献分析法：广泛查阅国内外有关仓储虫害防治的学术文献、行业报告、技术标准等资料，全面了解仓储虫害的种类、危害、防治技术以及管理经验等方面的研究现状，为后续的研究提供坚实的理论基础和参考依据。通过对文献的梳理和分析，总结出当前虫害防治领域的研究热点和发展趋势，找出已有研究的不足之处，明确本研究的切入点和创新点。</w:t>
      </w:r>
    </w:p>
    <w:p w14:paraId="3FBCABCF">
      <w:pPr>
        <w:spacing w:line="300" w:lineRule="auto"/>
        <w:ind w:firstLine="480" w:firstLineChars="200"/>
        <w:rPr>
          <w:rFonts w:asciiTheme="minorEastAsia" w:hAnsiTheme="minorEastAsia"/>
          <w:sz w:val="24"/>
        </w:rPr>
      </w:pPr>
      <w:r>
        <w:rPr>
          <w:rFonts w:asciiTheme="minorEastAsia" w:hAnsiTheme="minorEastAsia"/>
          <w:sz w:val="24"/>
        </w:rPr>
        <w:t>案例研究法：选取京东仓库以及其他相关企业的仓储虫害防治案例进行深入研究，分析其在虫害防治过程中采取的措施、取得的成效以及存在的问题。通过对实际案例的剖析，总结成功经验和失败教训，从中提炼出具有普遍性和可操作性的防治策略和方法，为京东仓库虫害防治方案的设计提供实践参考。</w:t>
      </w:r>
    </w:p>
    <w:p w14:paraId="69EB1679">
      <w:pPr>
        <w:spacing w:line="300" w:lineRule="auto"/>
        <w:ind w:firstLine="480" w:firstLineChars="200"/>
        <w:rPr>
          <w:rFonts w:asciiTheme="minorEastAsia" w:hAnsiTheme="minorEastAsia"/>
          <w:sz w:val="24"/>
        </w:rPr>
      </w:pPr>
      <w:r>
        <w:rPr>
          <w:rFonts w:asciiTheme="minorEastAsia" w:hAnsiTheme="minorEastAsia"/>
          <w:sz w:val="24"/>
        </w:rPr>
        <w:t>实地调研法：深入京东仓库进行实地考察，与仓库管理人员、一线工作人员进行面对面交流，了解仓库的布局结构、存储条件、货物种类、日常管理流程以及虫害防治现状等实际情况。通过实地调研，获取第一手资料，发现实际工作中存在的问题和难点，为方案的针对性设计提供依据。同时，观察仓库内的虫害迹象和防治设施的运行情况，直观感受虫害对仓储环境的影响，进一步加深对虫害问题的认识。</w:t>
      </w:r>
    </w:p>
    <w:p w14:paraId="5297DF68">
      <w:pPr>
        <w:spacing w:line="300" w:lineRule="auto"/>
        <w:ind w:firstLine="480" w:firstLineChars="200"/>
        <w:rPr>
          <w:rFonts w:asciiTheme="minorEastAsia" w:hAnsiTheme="minorEastAsia"/>
          <w:sz w:val="24"/>
        </w:rPr>
      </w:pPr>
      <w:r>
        <w:rPr>
          <w:rFonts w:asciiTheme="minorEastAsia" w:hAnsiTheme="minorEastAsia"/>
          <w:sz w:val="24"/>
        </w:rPr>
        <w:t>专家访谈法：邀请物流仓储领域的专家、学者以及具有丰富实践经验的虫害防治专业人士进行访谈，就京东仓库虫害防治的相关问题征求他们的意见和建议。专家们凭借其深厚的专业知识和丰富的实践经验，能够从不同角度提供独到的见解和解决方案，为研究提供专业指导和智力支持。通过与专家的交流互动，拓宽研究思路，完善研究内容，确保方案的科学性和可行性。</w:t>
      </w:r>
      <w:bookmarkStart w:id="7" w:name="_Toc118985593"/>
    </w:p>
    <w:p w14:paraId="1678D296">
      <w:pPr>
        <w:widowControl/>
        <w:spacing w:line="300" w:lineRule="auto"/>
        <w:ind w:firstLine="602" w:firstLineChars="200"/>
        <w:jc w:val="left"/>
        <w:rPr>
          <w:rFonts w:ascii="黑体" w:hAnsi="黑体" w:eastAsia="黑体"/>
          <w:kern w:val="44"/>
          <w:sz w:val="30"/>
          <w:szCs w:val="30"/>
        </w:rPr>
      </w:pPr>
      <w:r>
        <w:rPr>
          <w:rFonts w:ascii="黑体" w:hAnsi="黑体" w:eastAsia="黑体"/>
          <w:b/>
          <w:bCs/>
          <w:sz w:val="30"/>
          <w:szCs w:val="30"/>
        </w:rPr>
        <w:br w:type="page"/>
      </w:r>
    </w:p>
    <w:p w14:paraId="252520EC">
      <w:pPr>
        <w:pStyle w:val="2"/>
        <w:spacing w:before="0" w:after="0" w:line="300" w:lineRule="auto"/>
        <w:ind w:firstLine="600" w:firstLineChars="200"/>
        <w:jc w:val="center"/>
        <w:rPr>
          <w:rFonts w:ascii="黑体" w:hAnsi="黑体" w:eastAsia="黑体"/>
          <w:b w:val="0"/>
          <w:sz w:val="30"/>
          <w:szCs w:val="30"/>
        </w:rPr>
      </w:pPr>
      <w:bookmarkStart w:id="8" w:name="_Toc197201567"/>
      <w:r>
        <w:rPr>
          <w:rFonts w:hint="eastAsia" w:ascii="黑体" w:hAnsi="黑体" w:eastAsia="黑体"/>
          <w:b w:val="0"/>
          <w:sz w:val="30"/>
          <w:szCs w:val="30"/>
        </w:rPr>
        <w:t xml:space="preserve">第二章 </w:t>
      </w:r>
      <w:r>
        <w:rPr>
          <w:rFonts w:ascii="黑体" w:hAnsi="黑体" w:eastAsia="黑体"/>
          <w:b w:val="0"/>
          <w:sz w:val="30"/>
          <w:szCs w:val="30"/>
        </w:rPr>
        <w:t xml:space="preserve"> </w:t>
      </w:r>
      <w:bookmarkEnd w:id="7"/>
      <w:bookmarkStart w:id="9" w:name="_Toc118985594"/>
      <w:r>
        <w:rPr>
          <w:rFonts w:ascii="黑体" w:hAnsi="黑体" w:eastAsia="黑体"/>
          <w:b w:val="0"/>
          <w:sz w:val="30"/>
          <w:szCs w:val="30"/>
        </w:rPr>
        <w:t>京东仓库虫害现状与成因分析</w:t>
      </w:r>
      <w:bookmarkEnd w:id="8"/>
    </w:p>
    <w:bookmarkEnd w:id="9"/>
    <w:p w14:paraId="0F992105">
      <w:pPr>
        <w:pStyle w:val="3"/>
        <w:spacing w:line="300" w:lineRule="auto"/>
        <w:ind w:firstLine="560" w:firstLineChars="200"/>
        <w:rPr>
          <w:rFonts w:ascii="黑体" w:hAnsi="黑体" w:eastAsia="黑体"/>
          <w:b w:val="0"/>
        </w:rPr>
      </w:pPr>
      <w:bookmarkStart w:id="10" w:name="_Toc197201568"/>
      <w:r>
        <w:rPr>
          <w:rFonts w:ascii="黑体" w:hAnsi="黑体" w:eastAsia="黑体"/>
          <w:b w:val="0"/>
        </w:rPr>
        <w:t>2.1常见虫害种类与危害</w:t>
      </w:r>
      <w:bookmarkEnd w:id="10"/>
    </w:p>
    <w:p w14:paraId="479FB493">
      <w:pPr>
        <w:spacing w:line="300" w:lineRule="auto"/>
        <w:ind w:firstLine="480" w:firstLineChars="200"/>
        <w:rPr>
          <w:sz w:val="24"/>
        </w:rPr>
      </w:pPr>
      <w:bookmarkStart w:id="11" w:name="_Toc118985595"/>
      <w:r>
        <w:rPr>
          <w:sz w:val="24"/>
        </w:rPr>
        <w:t>在京东仓库中，常见的虫害种类繁多，这些害虫凭借其独特的生存习性和繁殖能力，给仓储环境带来了极大的危害。</w:t>
      </w:r>
    </w:p>
    <w:p w14:paraId="37E7F9E9">
      <w:pPr>
        <w:spacing w:line="300" w:lineRule="auto"/>
        <w:ind w:firstLine="480" w:firstLineChars="200"/>
        <w:rPr>
          <w:sz w:val="24"/>
        </w:rPr>
      </w:pPr>
      <w:r>
        <w:rPr>
          <w:sz w:val="24"/>
        </w:rPr>
        <w:t>蟑螂作为一种常见的仓库害虫，其生存能力和繁殖能力令人惊叹。它们善于爬行，甚至在危机时刻还能飞行，其扁平的身体使其能够轻松地穿梭于狭小的缝隙之中。蟑螂喜暗怕光，昼伏夜出，通常在黄昏后开始活动觅食。在温度适宜的环境下，如24-32℃，蟑螂最为活跃，而在热带地区，它们更是能够四季繁殖、活动。蟑螂的繁殖速度极快，一只受精的雌性蟑螂在食料充足的情况下，一年内可演化成数十万只，并且还能进行无性繁殖三代以上。在京东仓库中，蟑螂不仅会啃食货物包装，还可能在货物上留下排泄物，从而污染货物，导致货物变质、损坏。据统计，在一些卫生条件较差的仓库区域，蟑螂的密度可高达每平方米数十只，严重影响了货物的质量和仓储环境的卫生。</w:t>
      </w:r>
    </w:p>
    <w:p w14:paraId="2ED2F4C6">
      <w:pPr>
        <w:spacing w:line="300" w:lineRule="auto"/>
        <w:ind w:firstLine="480" w:firstLineChars="200"/>
        <w:jc w:val="left"/>
        <w:rPr>
          <w:sz w:val="24"/>
        </w:rPr>
      </w:pPr>
      <w:r>
        <w:rPr>
          <w:sz w:val="24"/>
        </w:rPr>
        <w:t>褐家鼠也是京东仓库中需要重点防范的害虫之一。它们的栖息地广泛，在仓库的墙根屋角、厨房、畜圈、厕所、垃圾堆、下水道等地方都能发现它们的踪迹。褐家鼠掘土挖洞能力强，活动多在夜间，每夜外出吃食两次，行动敏捷，虽然视觉差，但听觉、嗅觉和触觉都非常灵敏。它们的繁殖力特强，是世界性分布的鼠类，凡是有人类居住的场所几乎都有它们的踪迹，常常会随着各种交通工具扩散。在京东仓库中，褐家鼠会咬坏货物包装，偷吃货物，尤其是对食品类货物造成的损失较大。它们还可能咬坏电线、电缆等设备，导致仓库设备故障，影响正常的仓储运营。曾有京东仓库因为褐家鼠咬坏电线，引发短路，导致部分区域停电，造成了货物搬运和存储的延误，经济损失达数万元。</w:t>
      </w:r>
    </w:p>
    <w:p w14:paraId="3A431D25">
      <w:pPr>
        <w:spacing w:line="300" w:lineRule="auto"/>
        <w:ind w:firstLine="480" w:firstLineChars="200"/>
        <w:rPr>
          <w:sz w:val="24"/>
        </w:rPr>
      </w:pPr>
      <w:r>
        <w:rPr>
          <w:sz w:val="24"/>
        </w:rPr>
        <w:t>玉米象作为我国头号仓库害虫，在京东仓库中也时有出现。它们主要栖息在稻谷、麦类、玉米以及油料、薯干、中药材、粮食制品等储藏物上。玉米象成虫体长2.9-4.2毫米，体暗褐色，鞘翅常有4个橙红色椭圆形斑，喙长，密被细刻点。它们以谷物为食，成虫啃食谷物表面，幼虫则蛀食谷粒内部，会导致粮食重量减轻、品质下降，严重时可使粮食失去食用价值。在一些存储粮食的京东仓库中，玉米象的侵害较为严重，部分粮堆的受害率可达30%以上，造成了大量的粮食损耗。药材甲同样是一种世界性的储藏物害虫，食性相当复杂，主要危害谷物、油料、薯干和药品等储藏物品，对图书、档案等物品也会造成损害。药材甲发育为成虫后，会在蛹室（茧）内停留约一个星期，然后破蛹而出。成虫能飞，有假死性，喜昏暗的光线，常在黄昏或阴天飞翔。其幼虫对储藏物品的危害较大，会在物品内部蛀食，形成孔洞，导致物品损坏。在京东仓库中，存放的中药材、药品等常常受到药材甲的侵害，一些名贵中药材因为被药材甲蛀食，价值大幅降低，给企业带来了不小的经济损失。</w:t>
      </w:r>
    </w:p>
    <w:p w14:paraId="3236BA8B">
      <w:pPr>
        <w:spacing w:line="300" w:lineRule="auto"/>
        <w:ind w:firstLine="480" w:firstLineChars="200"/>
        <w:rPr>
          <w:sz w:val="24"/>
        </w:rPr>
      </w:pPr>
      <w:r>
        <w:rPr>
          <w:sz w:val="24"/>
        </w:rPr>
        <w:t>印度谷蛾也是京东仓库中常见的害虫之一，主要以幼虫形态取食粮食、干果等物品，成虫则主要取食花蜜和果汁。印度谷蛾幼虫在仓库中吐丝结网，将食物颗粒粘连在一起，形成虫巢，不仅会直接取食货物，还会污染其他货物，使其品质下降。在存储干果、粮食等货物的仓库中，印度谷蛾的危害较为明显，一些货物因为受到印度谷蛾的侵害，出现结块、变质等现象，无法正常销售。</w:t>
      </w:r>
    </w:p>
    <w:p w14:paraId="79E47CAA">
      <w:pPr>
        <w:spacing w:line="300" w:lineRule="auto"/>
        <w:ind w:firstLine="480" w:firstLineChars="200"/>
        <w:rPr>
          <w:sz w:val="24"/>
        </w:rPr>
      </w:pPr>
      <w:r>
        <w:rPr>
          <w:sz w:val="24"/>
        </w:rPr>
        <w:t>这些虫害对京东仓库造成的危害是多方面的。直接导致货物损耗。如粮食被玉米象蛀空，药材被药材甲蛀食，食品被蟑螂、褐家鼠污染等，使得大量货物无法正常销售或使用，给企业带来了直接的经济损失。据不完全统计，每年因虫害导致的货物损耗在京东仓储成本中占比达到了5%-8%，金额高达数千万元。其次，虫害还可能引发交叉污染。害虫在仓库中活动时，会携带各种病菌和微生物，这些病菌和微生物可能会传播到其他货物上，导致其他货物也受到污染，进一步扩大了损失范围。此外，虫害对仓库设备也会造成损坏。褐家鼠咬坏电线、电缆，蟑螂进入电器设备内部，可能会导致设备短路、故障，增加了设备维修和更换的成本。从法律风险角度来看，一旦消费者购买到被虫害污染的商品，可能会引发客户投诉和赔偿要求，这不仅会损害京东的品牌形象，还可能面临法律诉讼，给企业带来更大的损失。</w:t>
      </w:r>
    </w:p>
    <w:p w14:paraId="6212BF92">
      <w:pPr>
        <w:spacing w:line="300" w:lineRule="auto"/>
        <w:ind w:firstLine="480" w:firstLineChars="200"/>
        <w:rPr>
          <w:rStyle w:val="24"/>
          <w:rFonts w:ascii="黑体" w:hAnsi="黑体" w:eastAsia="黑体" w:cstheme="majorBidi"/>
          <w:b w:val="0"/>
          <w:sz w:val="24"/>
        </w:rPr>
      </w:pPr>
    </w:p>
    <w:bookmarkEnd w:id="11"/>
    <w:p w14:paraId="05857FE0">
      <w:pPr>
        <w:pStyle w:val="3"/>
        <w:spacing w:line="300" w:lineRule="auto"/>
        <w:ind w:firstLine="560" w:firstLineChars="200"/>
        <w:rPr>
          <w:rFonts w:ascii="黑体" w:hAnsi="黑体" w:eastAsia="黑体"/>
          <w:b w:val="0"/>
          <w:szCs w:val="28"/>
        </w:rPr>
      </w:pPr>
      <w:bookmarkStart w:id="12" w:name="_Toc197201569"/>
      <w:r>
        <w:rPr>
          <w:rFonts w:ascii="黑体" w:hAnsi="黑体" w:eastAsia="黑体"/>
          <w:b w:val="0"/>
          <w:szCs w:val="28"/>
        </w:rPr>
        <w:t>2.2虫害滋生关键因素</w:t>
      </w:r>
      <w:bookmarkEnd w:id="12"/>
    </w:p>
    <w:p w14:paraId="0F469656">
      <w:pPr>
        <w:spacing w:line="300" w:lineRule="auto"/>
        <w:ind w:firstLine="480" w:firstLineChars="200"/>
        <w:rPr>
          <w:rFonts w:asciiTheme="minorEastAsia" w:hAnsiTheme="minorEastAsia"/>
          <w:sz w:val="24"/>
        </w:rPr>
      </w:pPr>
      <w:r>
        <w:rPr>
          <w:rFonts w:asciiTheme="minorEastAsia" w:hAnsiTheme="minorEastAsia"/>
          <w:sz w:val="24"/>
        </w:rPr>
        <w:t>虫害在京东仓库中滋生，是由多种因素共同作用的结果，这些因素涉及环境、管理以及技术等多个层面。</w:t>
      </w:r>
    </w:p>
    <w:p w14:paraId="251F2E83">
      <w:pPr>
        <w:spacing w:line="300" w:lineRule="auto"/>
        <w:ind w:firstLine="480" w:firstLineChars="200"/>
        <w:rPr>
          <w:rFonts w:asciiTheme="minorEastAsia" w:hAnsiTheme="minorEastAsia"/>
          <w:sz w:val="24"/>
        </w:rPr>
      </w:pPr>
      <w:r>
        <w:rPr>
          <w:rFonts w:asciiTheme="minorEastAsia" w:hAnsiTheme="minorEastAsia"/>
          <w:sz w:val="24"/>
        </w:rPr>
        <w:t>环境因素在虫害滋生过程中起着关键作用。温湿度控制不当是导致虫害滋生的重要原因之一。大多数仓储害虫在温度为25-32℃、相对湿度在60%-80%的环境下繁殖速度最快。在京东仓库中，由于部分仓库的温湿度调控设备存在故障或运行不稳定的情况，导致仓库内的温湿度无法始终保持在适宜货物存储的范围内，从而为害虫的繁殖创造了有利条件。在夏季高温时段，一些没有配备良好降温设备的仓库，室内温度常常超过30℃，湿度也偏高，此时蟑螂、玉米象等害虫的繁殖速度明显加快，虫害问题也随之加剧。此外，仓库内的卫生死角也是虫害滋生的温床。仓库角落、货架底部、货物堆积处等地方，由于清洁难度较大，容易积累灰尘、食物残渣等，这些物质为害虫提供了食物来源和栖息场所。如果长期得不到清理，害虫就会在这些地方大量繁殖，然后逐渐扩散到整个仓库。</w:t>
      </w:r>
    </w:p>
    <w:p w14:paraId="518B5420">
      <w:pPr>
        <w:spacing w:line="300" w:lineRule="auto"/>
        <w:ind w:firstLine="480" w:firstLineChars="200"/>
        <w:rPr>
          <w:rFonts w:asciiTheme="minorEastAsia" w:hAnsiTheme="minorEastAsia"/>
          <w:sz w:val="24"/>
        </w:rPr>
      </w:pPr>
      <w:r>
        <w:rPr>
          <w:rFonts w:asciiTheme="minorEastAsia" w:hAnsiTheme="minorEastAsia"/>
          <w:sz w:val="24"/>
        </w:rPr>
        <w:t>管理漏洞也是虫害滋生的重要因素。入库检验不严格使得带有虫卵或害虫的货物进入仓库。在货物入库时，检验人员如果没有按照严格的检验标准和流程进行检查，就可能无法发现货物中隐藏的虫害问题。一些供应商为了降低成本，在货物包装和运输过程中没有采取有效的防虫措施，导致货物在入库前就已经被害虫侵害。如果这些货物顺利进入仓库，害虫就会在仓库内迅速繁殖，引发虫害问题。货物混存也增加了虫害传播的风险。不同种类的货物对存储条件的要求不同，如果将容易受到虫害侵害的食品、粮食等与其他货物混存，一旦其中一种货物发生虫害，害虫就很容易传播到其他货物上，造成更大范围的损失。运输工具消毒不彻底也是一个容易被忽视的问题。运输车辆在往返于不同地区的过程中，可能会接触到各种虫害源，如果在返回仓库后没有对车辆进行彻底的消毒处理，害虫就会随着运输工具进入仓库，成为新的虫害隐患。根据《仓储物流虫害防控管理方案》中的相关数据显示，因运输工具消毒不彻底导致的虫害问题在所有虫害案例中占比达到了15%-20%。</w:t>
      </w:r>
    </w:p>
    <w:p w14:paraId="7169D542">
      <w:pPr>
        <w:spacing w:line="300" w:lineRule="auto"/>
        <w:ind w:firstLine="480" w:firstLineChars="200"/>
        <w:rPr>
          <w:rFonts w:asciiTheme="minorEastAsia" w:hAnsiTheme="minorEastAsia"/>
          <w:sz w:val="24"/>
        </w:rPr>
      </w:pPr>
      <w:r>
        <w:rPr>
          <w:rFonts w:asciiTheme="minorEastAsia" w:hAnsiTheme="minorEastAsia"/>
          <w:sz w:val="24"/>
        </w:rPr>
        <w:t>技术局限也在一定程度上制约了京东仓库虫害防治工作的开展。传统的人工巡查方式效率较低，难以做到对仓库的全方位、实时监测。人工巡查不仅受限于巡查人员的专业水平和责任心，而且在大面积的仓库中，很难保证每个角落都能被及时检查到。在一些大型京东仓库中，由于面积较大，货架众多，人工巡查一遍需要耗费大量的时间和精力，而且容易出现漏检的情况。这就使得一些虫害在初期没有被及时发现，等到问题严重时才被察觉，此时虫害已经扩散，治理难度大大增加。此外，京东仓库目前缺乏智能化的虫害监测手段。虽然一些仓库安装了简单的捕虫灯、粘鼠板等设备，但这些设备只能起到一定的辅助监测作用，无法实时获取虫害的种类、数量、分布情况等关键信息。在信息技术飞速发展的今天，利用物联网、大数据、人工智能等技术实现虫害的智能监测和预警已经成为可能，但京东仓库在这方面的应用还相对滞后，需要进一步加强技术创新和应用。</w:t>
      </w:r>
    </w:p>
    <w:p w14:paraId="3DA38ED7">
      <w:pPr>
        <w:spacing w:line="300" w:lineRule="auto"/>
        <w:ind w:firstLine="480" w:firstLineChars="200"/>
        <w:rPr>
          <w:rFonts w:asciiTheme="minorEastAsia" w:hAnsiTheme="minorEastAsia"/>
          <w:sz w:val="24"/>
        </w:rPr>
      </w:pPr>
    </w:p>
    <w:p w14:paraId="28E40154">
      <w:pPr>
        <w:spacing w:line="300" w:lineRule="auto"/>
        <w:ind w:firstLine="480" w:firstLineChars="200"/>
        <w:rPr>
          <w:rFonts w:asciiTheme="minorEastAsia" w:hAnsiTheme="minorEastAsia" w:cstheme="minorEastAsia"/>
          <w:bCs/>
          <w:sz w:val="24"/>
          <w:lang w:bidi="en-US"/>
        </w:rPr>
      </w:pPr>
    </w:p>
    <w:p w14:paraId="78F23899">
      <w:pPr>
        <w:spacing w:line="300" w:lineRule="auto"/>
        <w:ind w:firstLine="480" w:firstLineChars="200"/>
        <w:rPr>
          <w:rFonts w:asciiTheme="minorEastAsia" w:hAnsiTheme="minorEastAsia" w:cstheme="minorEastAsia"/>
          <w:bCs/>
          <w:sz w:val="24"/>
          <w:lang w:bidi="en-US"/>
        </w:rPr>
      </w:pPr>
    </w:p>
    <w:p w14:paraId="61F19994">
      <w:pPr>
        <w:spacing w:line="300" w:lineRule="auto"/>
        <w:ind w:firstLine="480" w:firstLineChars="200"/>
        <w:rPr>
          <w:rFonts w:asciiTheme="minorEastAsia" w:hAnsiTheme="minorEastAsia" w:cstheme="minorEastAsia"/>
          <w:bCs/>
          <w:sz w:val="24"/>
          <w:lang w:bidi="en-US"/>
        </w:rPr>
      </w:pPr>
    </w:p>
    <w:p w14:paraId="318B4BCF">
      <w:pPr>
        <w:spacing w:line="300" w:lineRule="auto"/>
        <w:ind w:firstLine="480" w:firstLineChars="200"/>
        <w:rPr>
          <w:rFonts w:asciiTheme="minorEastAsia" w:hAnsiTheme="minorEastAsia" w:cstheme="minorEastAsia"/>
          <w:bCs/>
          <w:sz w:val="24"/>
          <w:lang w:bidi="en-US"/>
        </w:rPr>
      </w:pPr>
    </w:p>
    <w:p w14:paraId="0AB2C449">
      <w:pPr>
        <w:spacing w:line="300" w:lineRule="auto"/>
        <w:ind w:firstLine="480" w:firstLineChars="200"/>
        <w:rPr>
          <w:rFonts w:asciiTheme="minorEastAsia" w:hAnsiTheme="minorEastAsia" w:cstheme="minorEastAsia"/>
          <w:bCs/>
          <w:sz w:val="24"/>
          <w:lang w:bidi="en-US"/>
        </w:rPr>
      </w:pPr>
    </w:p>
    <w:p w14:paraId="274969CD">
      <w:pPr>
        <w:spacing w:line="300" w:lineRule="auto"/>
        <w:ind w:firstLine="480" w:firstLineChars="200"/>
        <w:rPr>
          <w:rFonts w:asciiTheme="minorEastAsia" w:hAnsiTheme="minorEastAsia" w:cstheme="minorEastAsia"/>
          <w:bCs/>
          <w:sz w:val="24"/>
          <w:lang w:bidi="en-US"/>
        </w:rPr>
      </w:pPr>
    </w:p>
    <w:p w14:paraId="36D40CBB">
      <w:pPr>
        <w:spacing w:line="300" w:lineRule="auto"/>
        <w:ind w:firstLine="480" w:firstLineChars="200"/>
        <w:rPr>
          <w:rFonts w:asciiTheme="minorEastAsia" w:hAnsiTheme="minorEastAsia" w:cstheme="minorEastAsia"/>
          <w:bCs/>
          <w:sz w:val="24"/>
          <w:lang w:bidi="en-US"/>
        </w:rPr>
      </w:pPr>
    </w:p>
    <w:p w14:paraId="7349B4B4">
      <w:pPr>
        <w:spacing w:line="300" w:lineRule="auto"/>
        <w:ind w:firstLine="480" w:firstLineChars="200"/>
        <w:rPr>
          <w:rFonts w:asciiTheme="minorEastAsia" w:hAnsiTheme="minorEastAsia" w:cstheme="minorEastAsia"/>
          <w:bCs/>
          <w:sz w:val="24"/>
          <w:lang w:bidi="en-US"/>
        </w:rPr>
      </w:pPr>
    </w:p>
    <w:p w14:paraId="5E11174F">
      <w:pPr>
        <w:spacing w:line="300" w:lineRule="auto"/>
        <w:ind w:firstLine="480" w:firstLineChars="200"/>
        <w:rPr>
          <w:rFonts w:asciiTheme="minorEastAsia" w:hAnsiTheme="minorEastAsia" w:cstheme="minorEastAsia"/>
          <w:bCs/>
          <w:sz w:val="24"/>
          <w:lang w:bidi="en-US"/>
        </w:rPr>
      </w:pPr>
    </w:p>
    <w:p w14:paraId="7BED8B5D">
      <w:pPr>
        <w:spacing w:line="300" w:lineRule="auto"/>
        <w:ind w:firstLine="480" w:firstLineChars="200"/>
        <w:rPr>
          <w:rFonts w:asciiTheme="minorEastAsia" w:hAnsiTheme="minorEastAsia" w:cstheme="minorEastAsia"/>
          <w:bCs/>
          <w:sz w:val="24"/>
          <w:lang w:bidi="en-US"/>
        </w:rPr>
      </w:pPr>
    </w:p>
    <w:p w14:paraId="196C8BE6">
      <w:pPr>
        <w:spacing w:line="300" w:lineRule="auto"/>
        <w:ind w:firstLine="480" w:firstLineChars="200"/>
        <w:rPr>
          <w:rFonts w:asciiTheme="minorEastAsia" w:hAnsiTheme="minorEastAsia" w:cstheme="minorEastAsia"/>
          <w:bCs/>
          <w:sz w:val="24"/>
          <w:lang w:bidi="en-US"/>
        </w:rPr>
      </w:pPr>
    </w:p>
    <w:p w14:paraId="1C24680E">
      <w:pPr>
        <w:spacing w:line="300" w:lineRule="auto"/>
        <w:ind w:firstLine="480" w:firstLineChars="200"/>
        <w:rPr>
          <w:rFonts w:asciiTheme="minorEastAsia" w:hAnsiTheme="minorEastAsia" w:cstheme="minorEastAsia"/>
          <w:bCs/>
          <w:sz w:val="24"/>
          <w:lang w:bidi="en-US"/>
        </w:rPr>
      </w:pPr>
    </w:p>
    <w:p w14:paraId="30F11817">
      <w:pPr>
        <w:spacing w:line="300" w:lineRule="auto"/>
        <w:ind w:firstLine="480" w:firstLineChars="200"/>
        <w:rPr>
          <w:rFonts w:asciiTheme="minorEastAsia" w:hAnsiTheme="minorEastAsia" w:cstheme="minorEastAsia"/>
          <w:bCs/>
          <w:sz w:val="24"/>
          <w:lang w:bidi="en-US"/>
        </w:rPr>
      </w:pPr>
    </w:p>
    <w:p w14:paraId="788CEDF6">
      <w:pPr>
        <w:spacing w:line="300" w:lineRule="auto"/>
        <w:ind w:firstLine="480" w:firstLineChars="200"/>
        <w:rPr>
          <w:rFonts w:asciiTheme="minorEastAsia" w:hAnsiTheme="minorEastAsia" w:cstheme="minorEastAsia"/>
          <w:bCs/>
          <w:sz w:val="24"/>
          <w:lang w:bidi="en-US"/>
        </w:rPr>
      </w:pPr>
    </w:p>
    <w:p w14:paraId="7146D249">
      <w:pPr>
        <w:widowControl/>
        <w:spacing w:line="300" w:lineRule="auto"/>
        <w:jc w:val="center"/>
        <w:rPr>
          <w:rFonts w:ascii="黑体" w:hAnsi="黑体" w:eastAsia="黑体"/>
          <w:kern w:val="44"/>
          <w:sz w:val="30"/>
          <w:szCs w:val="30"/>
        </w:rPr>
      </w:pPr>
      <w:bookmarkStart w:id="13" w:name="_Toc197201570"/>
      <w:bookmarkStart w:id="14" w:name="_Toc117709022"/>
      <w:bookmarkStart w:id="15" w:name="_Toc118985598"/>
      <w:bookmarkStart w:id="16" w:name="_Toc421130210"/>
      <w:r>
        <w:rPr>
          <w:rFonts w:ascii="黑体" w:hAnsi="黑体" w:eastAsia="黑体"/>
          <w:sz w:val="30"/>
          <w:szCs w:val="30"/>
        </w:rPr>
        <w:t>第三章 京东仓库虫害防治现存问题分析</w:t>
      </w:r>
      <w:bookmarkEnd w:id="13"/>
    </w:p>
    <w:bookmarkEnd w:id="14"/>
    <w:bookmarkEnd w:id="15"/>
    <w:p w14:paraId="5EFE5609">
      <w:pPr>
        <w:pStyle w:val="3"/>
        <w:spacing w:line="300" w:lineRule="auto"/>
        <w:ind w:firstLine="560" w:firstLineChars="200"/>
        <w:rPr>
          <w:rFonts w:ascii="黑体" w:hAnsi="黑体" w:eastAsia="黑体"/>
          <w:b w:val="0"/>
          <w:szCs w:val="28"/>
        </w:rPr>
      </w:pPr>
      <w:bookmarkStart w:id="17" w:name="_Toc197201571"/>
      <w:bookmarkStart w:id="18" w:name="_Toc57989910"/>
      <w:r>
        <w:rPr>
          <w:rFonts w:ascii="黑体" w:hAnsi="黑体" w:eastAsia="黑体"/>
          <w:b w:val="0"/>
          <w:szCs w:val="28"/>
        </w:rPr>
        <w:t>3.1 虫害种类复杂与防治针对性不足</w:t>
      </w:r>
      <w:bookmarkEnd w:id="17"/>
    </w:p>
    <w:p w14:paraId="36029C34">
      <w:pPr>
        <w:pStyle w:val="4"/>
        <w:spacing w:before="0" w:after="0" w:line="300" w:lineRule="auto"/>
        <w:ind w:firstLine="560" w:firstLineChars="200"/>
        <w:rPr>
          <w:rFonts w:ascii="黑体" w:hAnsi="黑体" w:eastAsia="黑体"/>
          <w:b w:val="0"/>
          <w:sz w:val="28"/>
          <w:szCs w:val="28"/>
        </w:rPr>
      </w:pPr>
      <w:bookmarkStart w:id="19" w:name="_Toc197201572"/>
      <w:r>
        <w:rPr>
          <w:rFonts w:ascii="黑体" w:hAnsi="黑体" w:eastAsia="黑体"/>
          <w:b w:val="0"/>
          <w:sz w:val="28"/>
          <w:szCs w:val="28"/>
        </w:rPr>
        <w:t>3.1.1 多品类存储导致虫害谱多元化</w:t>
      </w:r>
      <w:bookmarkEnd w:id="19"/>
    </w:p>
    <w:p w14:paraId="115AAF8C">
      <w:pPr>
        <w:spacing w:line="300" w:lineRule="auto"/>
        <w:ind w:firstLine="480" w:firstLineChars="200"/>
        <w:rPr>
          <w:rFonts w:asciiTheme="minorEastAsia" w:hAnsiTheme="minorEastAsia"/>
          <w:sz w:val="24"/>
        </w:rPr>
      </w:pPr>
      <w:r>
        <w:rPr>
          <w:rFonts w:asciiTheme="minorEastAsia" w:hAnsiTheme="minorEastAsia"/>
          <w:sz w:val="24"/>
        </w:rPr>
        <w:t>京东仓库现有的虫害防治方案未能充分考虑到不同货区的特点和虫害类型的差异，缺乏针对性。在实际防治过程中，往往采用 “一刀切” 的方式，使用相同的防治方法和药剂对各个货区进行处理。这种方式不仅无法有效控制虫害的发生，还可能造成资源的浪费和环境的污染。例如，对于食品区的虫害防治，如果使用高毒性的化学药剂，虽然可能能够杀死害虫，但也会在食品上残留农药，对消费者的健康构成威胁；而对于图书区和冷链仓，一些常规的防治方法可能并不适用，因为图书对化学药剂较为敏感，容易受到损坏，而冷链仓的低温环境会影响一些药剂的效果。</w:t>
      </w:r>
    </w:p>
    <w:p w14:paraId="0D77357B">
      <w:pPr>
        <w:pStyle w:val="4"/>
        <w:spacing w:before="0" w:after="0" w:line="300" w:lineRule="auto"/>
        <w:ind w:firstLine="560" w:firstLineChars="200"/>
        <w:rPr>
          <w:rFonts w:ascii="黑体" w:hAnsi="黑体" w:eastAsia="黑体"/>
          <w:b w:val="0"/>
          <w:sz w:val="28"/>
          <w:szCs w:val="28"/>
        </w:rPr>
      </w:pPr>
      <w:bookmarkStart w:id="20" w:name="_Toc197201573"/>
      <w:r>
        <w:rPr>
          <w:rFonts w:ascii="黑体" w:hAnsi="黑体" w:eastAsia="黑体"/>
          <w:b w:val="0"/>
          <w:sz w:val="28"/>
          <w:szCs w:val="28"/>
        </w:rPr>
        <w:t>3.1.2 外来虫害入侵风险管控薄弱</w:t>
      </w:r>
      <w:bookmarkEnd w:id="20"/>
    </w:p>
    <w:p w14:paraId="1648F149">
      <w:pPr>
        <w:spacing w:line="300" w:lineRule="auto"/>
        <w:ind w:firstLine="480" w:firstLineChars="200"/>
        <w:rPr>
          <w:rFonts w:asciiTheme="minorEastAsia" w:hAnsiTheme="minorEastAsia"/>
          <w:sz w:val="24"/>
        </w:rPr>
      </w:pPr>
      <w:r>
        <w:rPr>
          <w:rFonts w:asciiTheme="minorEastAsia" w:hAnsiTheme="minorEastAsia"/>
          <w:sz w:val="24"/>
        </w:rPr>
        <w:t>目前，京东仓库在货物出入库环节，对外来虫害的检疫主要依赖人工检查，这种方式效率较低，且容易出现疏漏。人工检查往往只能对货物的表面进行简单的观察，难以发现隐藏在包装内部或货物深层的虫卵和害虫。此外，人工检查的准确性还受到检查人员经验和责任心的影响，存在较大的主观性。同时，京东仓库与供应商和第三方物流之间在虫害防控方面的信息共享和协同合作也不够紧密，缺乏有效的沟通机制和统一的标准，导致在货物运输和交接过程中，无法及时发现和处理虫害问题。</w:t>
      </w:r>
    </w:p>
    <w:bookmarkEnd w:id="18"/>
    <w:p w14:paraId="6D974A6A">
      <w:pPr>
        <w:pStyle w:val="3"/>
        <w:spacing w:line="300" w:lineRule="auto"/>
        <w:ind w:firstLine="560" w:firstLineChars="200"/>
        <w:rPr>
          <w:rFonts w:ascii="MS Mincho" w:hAnsi="MS Mincho" w:cs="MS Mincho" w:eastAsiaTheme="minorEastAsia"/>
          <w:b w:val="0"/>
        </w:rPr>
      </w:pPr>
      <w:bookmarkStart w:id="21" w:name="_Toc197201574"/>
      <w:r>
        <w:rPr>
          <w:rFonts w:ascii="黑体" w:hAnsi="黑体" w:eastAsia="黑体"/>
          <w:b w:val="0"/>
        </w:rPr>
        <w:t>3.2 防治技术与设备存在短板</w:t>
      </w:r>
      <w:r>
        <w:rPr>
          <w:rFonts w:hint="eastAsia" w:ascii="MS Mincho" w:hAnsi="MS Mincho" w:eastAsia="MS Mincho" w:cs="MS Mincho"/>
          <w:b w:val="0"/>
        </w:rPr>
        <w:t>​</w:t>
      </w:r>
      <w:bookmarkEnd w:id="21"/>
    </w:p>
    <w:p w14:paraId="2ABF4A47">
      <w:pPr>
        <w:pStyle w:val="4"/>
        <w:spacing w:before="0" w:after="0" w:line="300" w:lineRule="auto"/>
        <w:ind w:firstLine="560" w:firstLineChars="200"/>
        <w:rPr>
          <w:rFonts w:ascii="黑体" w:hAnsi="黑体" w:eastAsia="黑体"/>
          <w:b w:val="0"/>
          <w:sz w:val="28"/>
          <w:szCs w:val="28"/>
        </w:rPr>
      </w:pPr>
      <w:bookmarkStart w:id="22" w:name="_Toc197201575"/>
      <w:r>
        <w:rPr>
          <w:rFonts w:ascii="黑体" w:hAnsi="黑体" w:eastAsia="黑体"/>
          <w:b w:val="0"/>
          <w:sz w:val="28"/>
          <w:szCs w:val="28"/>
        </w:rPr>
        <w:t>3.2.1 智能监测系统覆盖不足</w:t>
      </w:r>
      <w:bookmarkEnd w:id="22"/>
    </w:p>
    <w:p w14:paraId="63962810">
      <w:pPr>
        <w:spacing w:line="300" w:lineRule="auto"/>
        <w:ind w:firstLine="480" w:firstLineChars="200"/>
        <w:rPr>
          <w:rFonts w:asciiTheme="minorEastAsia" w:hAnsiTheme="minorEastAsia"/>
          <w:sz w:val="24"/>
        </w:rPr>
      </w:pPr>
      <w:bookmarkStart w:id="23" w:name="_Toc118985600"/>
      <w:bookmarkStart w:id="24" w:name="_Toc117709024"/>
      <w:r>
        <w:rPr>
          <w:rFonts w:asciiTheme="minorEastAsia" w:hAnsiTheme="minorEastAsia"/>
          <w:sz w:val="24"/>
        </w:rPr>
        <w:t>尽管京东在仓储技术方面不断创新，但部分传统仓库在虫害监测上仍依赖人工巡检，这种方式存在诸多局限性。人工巡检受限于巡检人员的体力和精力，无法做到全仓实时监测，存在监测盲区。一般来说，人工巡检的周期较长，可能数小时甚至数天进行一次，这就导致在两次巡检之间，虫害问题可能已经发生并扩散，等到发现时，往往已经造成了一定的损失。</w:t>
      </w:r>
      <w:r>
        <w:rPr>
          <w:rFonts w:hint="eastAsia" w:ascii="MS Mincho" w:hAnsi="MS Mincho" w:eastAsia="MS Mincho" w:cs="MS Mincho"/>
          <w:sz w:val="24"/>
        </w:rPr>
        <w:t>​</w:t>
      </w:r>
    </w:p>
    <w:p w14:paraId="1CA3E38D">
      <w:pPr>
        <w:spacing w:line="300" w:lineRule="auto"/>
        <w:ind w:firstLine="480" w:firstLineChars="200"/>
        <w:rPr>
          <w:rFonts w:asciiTheme="minorEastAsia" w:hAnsiTheme="minorEastAsia"/>
          <w:sz w:val="24"/>
        </w:rPr>
      </w:pPr>
      <w:r>
        <w:rPr>
          <w:rFonts w:asciiTheme="minorEastAsia" w:hAnsiTheme="minorEastAsia"/>
          <w:sz w:val="24"/>
        </w:rPr>
        <w:t>在人工巡检过程中，由于不同巡检人员的专业水平和责任心存在差异，对虫害的识别和判断能力也各不相同。一些经验不足的巡检人员可能无法及时发现初期的虫害迹象，或者对一些隐蔽性较强的害虫视而不见。例如，一些小型害虫如书虱、螨类等，体型微小，不易被肉眼察觉，需要借助专业的工具和丰富的经验才能发现。而且，人工记录和反馈虫害信息的过程相对繁琐，容易出现信息遗漏、错误或延误的情况，这会影响后续防治措施的及时实施。</w:t>
      </w:r>
      <w:bookmarkEnd w:id="23"/>
      <w:bookmarkEnd w:id="24"/>
    </w:p>
    <w:p w14:paraId="3A3770ED">
      <w:pPr>
        <w:pStyle w:val="4"/>
        <w:spacing w:before="0" w:after="0" w:line="300" w:lineRule="auto"/>
        <w:ind w:firstLine="562" w:firstLineChars="200"/>
        <w:rPr>
          <w:rFonts w:asciiTheme="minorEastAsia" w:hAnsiTheme="minorEastAsia"/>
          <w:sz w:val="28"/>
          <w:szCs w:val="28"/>
        </w:rPr>
      </w:pPr>
      <w:bookmarkStart w:id="25" w:name="_Toc197201576"/>
      <w:r>
        <w:rPr>
          <w:sz w:val="28"/>
          <w:szCs w:val="28"/>
        </w:rPr>
        <w:t>3.2.2 绿色防控技术应用有限</w:t>
      </w:r>
      <w:bookmarkEnd w:id="25"/>
    </w:p>
    <w:p w14:paraId="7733D66D">
      <w:pPr>
        <w:spacing w:line="300" w:lineRule="auto"/>
        <w:ind w:firstLine="480" w:firstLineChars="200"/>
        <w:rPr>
          <w:sz w:val="24"/>
        </w:rPr>
      </w:pPr>
      <w:r>
        <w:rPr>
          <w:sz w:val="24"/>
        </w:rPr>
        <w:t>在京东仓库虫害防治中，化学药剂尤其是拟除虫菊酯类农药占主导，它杀虫快速高效，能短时间控制虫害。但长期过度依赖化学药剂问题严重，害虫产生抗药性，药剂效果降低，为达防治效果需增加剂量和频率，既增成本又加剧抗药性，形成恶性循环。同时，化学药剂存在农药残留风险，食品类仓库中会污染食品威胁消费者健康，其他品类仓库也会污染环境，影响周边生态平衡。相比之下，生物防治和物理防治等绿色防控技术具有环保、安全、可持续等优点，但在京东仓库中的应用比例却较低。这主要是由于生物防治和物理防治技术的应用需要一定的技术支持和设备投入，对操作人员的专业要求也较高，且其防治效果往往相对较慢，不像化学药剂那样立竿见影，因此在京东仓库中，这些绿色防控技术的应用受到了一定的限制，未能得到充分的推广和应用 。</w:t>
      </w:r>
    </w:p>
    <w:p w14:paraId="2DC49363">
      <w:pPr>
        <w:pStyle w:val="3"/>
        <w:spacing w:line="300" w:lineRule="auto"/>
        <w:ind w:firstLine="560" w:firstLineChars="200"/>
        <w:rPr>
          <w:rFonts w:ascii="黑体" w:hAnsi="黑体" w:eastAsia="黑体"/>
          <w:b w:val="0"/>
        </w:rPr>
      </w:pPr>
      <w:bookmarkStart w:id="26" w:name="_Toc197201577"/>
      <w:r>
        <w:rPr>
          <w:rFonts w:ascii="黑体" w:hAnsi="黑体" w:eastAsia="黑体"/>
          <w:b w:val="0"/>
        </w:rPr>
        <w:t>3.3 仓储环境管理与人员意识问题</w:t>
      </w:r>
      <w:bookmarkEnd w:id="26"/>
    </w:p>
    <w:p w14:paraId="28FC68B2">
      <w:pPr>
        <w:pStyle w:val="4"/>
        <w:spacing w:before="0" w:after="0" w:line="300" w:lineRule="auto"/>
        <w:ind w:firstLine="560" w:firstLineChars="200"/>
        <w:rPr>
          <w:rFonts w:ascii="黑体" w:hAnsi="黑体" w:eastAsia="黑体"/>
          <w:b w:val="0"/>
          <w:sz w:val="28"/>
          <w:szCs w:val="28"/>
        </w:rPr>
      </w:pPr>
      <w:bookmarkStart w:id="27" w:name="_Toc197201578"/>
      <w:r>
        <w:rPr>
          <w:rFonts w:ascii="黑体" w:hAnsi="黑体" w:eastAsia="黑体"/>
          <w:b w:val="0"/>
          <w:sz w:val="28"/>
          <w:szCs w:val="28"/>
        </w:rPr>
        <w:t>3.3.1 温湿度控制与卫生死角治理不足</w:t>
      </w:r>
      <w:bookmarkEnd w:id="27"/>
    </w:p>
    <w:p w14:paraId="394D824D">
      <w:pPr>
        <w:spacing w:line="300" w:lineRule="auto"/>
        <w:ind w:firstLine="480" w:firstLineChars="200"/>
        <w:rPr>
          <w:rFonts w:asciiTheme="minorEastAsia" w:hAnsiTheme="minorEastAsia"/>
          <w:sz w:val="24"/>
        </w:rPr>
      </w:pPr>
      <w:r>
        <w:rPr>
          <w:rFonts w:asciiTheme="minorEastAsia" w:hAnsiTheme="minorEastAsia"/>
          <w:sz w:val="24"/>
        </w:rPr>
        <w:t xml:space="preserve">京东部分仓库的除湿设备老化，在潮湿天气表现明显。设备故障时仓库湿度迅速上升，超过适宜货物存储和抑制虫害滋生的范围。多数害虫在相对湿度 </w:t>
      </w:r>
      <w:r>
        <w:rPr>
          <w:rFonts w:cs="Calibri" w:asciiTheme="minorEastAsia" w:hAnsiTheme="minorEastAsia"/>
          <w:sz w:val="24"/>
        </w:rPr>
        <w:t xml:space="preserve">70% </w:t>
      </w:r>
      <w:r>
        <w:rPr>
          <w:rFonts w:asciiTheme="minorEastAsia" w:hAnsiTheme="minorEastAsia"/>
          <w:sz w:val="24"/>
        </w:rPr>
        <w:t>以上繁殖加快，食品、电子产品、纸质物品等货物在高湿度下易受潮变质，分别会出现发霉腐烂、短路故障、变软变形等问题。湿度超标还会导致霉菌滋生，霉菌不仅会直接损害货物，还会为虫害提供适宜的生存环境。霉菌生长过程中会分泌一些有机物质，这些物质可以作为害虫的食物来源，吸引害虫聚集。同时，霉菌的生长会改变仓库内的微环境，使其更适合害虫的生存和繁殖。例如，一些害虫喜欢在潮湿、阴暗且有霉菌生长的地方栖息和产卵，如衣鱼、书虱等。</w:t>
      </w:r>
      <w:r>
        <w:rPr>
          <w:rFonts w:hint="eastAsia" w:ascii="MS Mincho" w:hAnsi="MS Mincho" w:eastAsia="MS Mincho" w:cs="MS Mincho"/>
          <w:sz w:val="24"/>
        </w:rPr>
        <w:t>​</w:t>
      </w:r>
    </w:p>
    <w:p w14:paraId="46672819">
      <w:pPr>
        <w:spacing w:line="300" w:lineRule="auto"/>
        <w:ind w:firstLine="480" w:firstLineChars="200"/>
        <w:rPr>
          <w:rFonts w:asciiTheme="minorEastAsia" w:hAnsiTheme="minorEastAsia"/>
          <w:sz w:val="24"/>
        </w:rPr>
      </w:pPr>
      <w:r>
        <w:rPr>
          <w:rFonts w:asciiTheme="minorEastAsia" w:hAnsiTheme="minorEastAsia"/>
          <w:sz w:val="24"/>
        </w:rPr>
        <w:t>仓库内的卫生死角是虫害滋生的重要源头，像货架底部、传送带缝隙等位置隐蔽、清洁难度大的区域易被忽视。这些地方杂物、灰尘和食物残渣易堆积，给害虫提供食物和栖息场所。比如货架底部的废弃包装材料、货物碎屑会吸引老鼠、蟑螂；传送带缝隙积累的灰尘和油污，利于螨类、跳虫等小型害虫生存繁殖。卫生死角若不及时清理，害虫大量繁殖后会扩散到整个仓库，危害货物。</w:t>
      </w:r>
    </w:p>
    <w:p w14:paraId="0C918FA6">
      <w:pPr>
        <w:pStyle w:val="4"/>
        <w:spacing w:before="0" w:after="0" w:line="300" w:lineRule="auto"/>
        <w:ind w:firstLine="560" w:firstLineChars="200"/>
        <w:rPr>
          <w:rFonts w:ascii="黑体" w:hAnsi="黑体" w:eastAsia="黑体" w:cs="Arial"/>
          <w:b w:val="0"/>
          <w:sz w:val="28"/>
          <w:szCs w:val="28"/>
        </w:rPr>
      </w:pPr>
      <w:bookmarkStart w:id="28" w:name="_Toc197201579"/>
      <w:r>
        <w:rPr>
          <w:rFonts w:ascii="黑体" w:hAnsi="黑体" w:eastAsia="黑体"/>
          <w:b w:val="0"/>
          <w:sz w:val="28"/>
          <w:szCs w:val="28"/>
        </w:rPr>
        <w:t>3.3.2 员工防治意识与技能参差不齐</w:t>
      </w:r>
      <w:r>
        <w:rPr>
          <w:rFonts w:hint="eastAsia" w:ascii="MS Mincho" w:hAnsi="MS Mincho" w:eastAsia="MS Mincho" w:cs="MS Mincho"/>
          <w:b w:val="0"/>
          <w:sz w:val="28"/>
          <w:szCs w:val="28"/>
        </w:rPr>
        <w:t>​</w:t>
      </w:r>
      <w:bookmarkEnd w:id="28"/>
      <w:r>
        <w:rPr>
          <w:rFonts w:ascii="黑体" w:hAnsi="黑体" w:eastAsia="黑体" w:cs="Arial"/>
          <w:b w:val="0"/>
          <w:sz w:val="28"/>
          <w:szCs w:val="28"/>
        </w:rPr>
        <w:tab/>
      </w:r>
    </w:p>
    <w:p w14:paraId="16BCCF47">
      <w:pPr>
        <w:spacing w:line="300" w:lineRule="auto"/>
        <w:ind w:firstLine="480" w:firstLineChars="200"/>
        <w:rPr>
          <w:rFonts w:asciiTheme="minorEastAsia" w:hAnsiTheme="minorEastAsia"/>
          <w:sz w:val="24"/>
        </w:rPr>
      </w:pPr>
      <w:r>
        <w:rPr>
          <w:rFonts w:asciiTheme="minorEastAsia" w:hAnsiTheme="minorEastAsia"/>
          <w:sz w:val="24"/>
        </w:rPr>
        <w:t>京东仓库的基层员工是虫害防治工作的直接执行者，他们的防治意识和技能水平直接影响着虫害防治的效果。然而，目前部分基层员工对虫害风险的认知不足，没有充分意识到虫害问题对仓库运营和货物安全的严重性。他们在日常工作中，可能会忽视一些潜在的虫害迹象，或者对一些已经出现的虫害问题不够重视，未能及时采取有效的措施进行处理。</w:t>
      </w:r>
      <w:r>
        <w:rPr>
          <w:rFonts w:hint="eastAsia" w:ascii="MS Mincho" w:hAnsi="MS Mincho" w:eastAsia="MS Mincho" w:cs="MS Mincho"/>
          <w:sz w:val="24"/>
        </w:rPr>
        <w:t>​</w:t>
      </w:r>
    </w:p>
    <w:p w14:paraId="30531269">
      <w:pPr>
        <w:spacing w:line="300" w:lineRule="auto"/>
        <w:ind w:firstLine="480" w:firstLineChars="200"/>
        <w:rPr>
          <w:rFonts w:asciiTheme="minorEastAsia" w:hAnsiTheme="minorEastAsia"/>
          <w:sz w:val="24"/>
        </w:rPr>
      </w:pPr>
      <w:r>
        <w:rPr>
          <w:rFonts w:asciiTheme="minorEastAsia" w:hAnsiTheme="minorEastAsia"/>
          <w:sz w:val="24"/>
        </w:rPr>
        <w:t>一些员工为节省时间精力，减少消杀药剂用量、缩短消杀时间范围，或喷雾时喷洒不均，致使消杀不彻底，害虫存活繁殖。此外，员工监测记录虫害情况也不规范，影响对虫害发生情况的准确判断与后续防治措施制定实施。京东仓库新入职员工在接受培训时，关于不同货区虫害识别与应急处理要点的培训内容不足。</w:t>
      </w:r>
    </w:p>
    <w:p w14:paraId="15D7BA33">
      <w:pPr>
        <w:spacing w:line="300" w:lineRule="auto"/>
        <w:ind w:firstLine="480" w:firstLineChars="200"/>
        <w:rPr>
          <w:rFonts w:asciiTheme="minorEastAsia" w:hAnsiTheme="minorEastAsia"/>
          <w:sz w:val="24"/>
        </w:rPr>
      </w:pPr>
      <w:r>
        <w:rPr>
          <w:rFonts w:asciiTheme="minorEastAsia" w:hAnsiTheme="minorEastAsia"/>
          <w:sz w:val="24"/>
        </w:rPr>
        <w:t>他们对隐蔽性强、危害大的害虫认识不足，实际工作中难以准确识别。面对虫害爆发等紧急情况，不知道如何正确采取应急措施，如选择防治药剂、组织人员紧急处理等，这会导致虫害问题无法及时有效控制，造成更大损失。</w:t>
      </w:r>
    </w:p>
    <w:p w14:paraId="1F4419A7">
      <w:pPr>
        <w:pStyle w:val="4"/>
        <w:spacing w:before="0" w:after="0" w:line="300" w:lineRule="auto"/>
        <w:ind w:firstLine="560" w:firstLineChars="200"/>
        <w:rPr>
          <w:rFonts w:ascii="MS Mincho" w:hAnsi="MS Mincho" w:cs="MS Mincho"/>
          <w:b w:val="0"/>
          <w:sz w:val="28"/>
          <w:szCs w:val="28"/>
        </w:rPr>
      </w:pPr>
      <w:bookmarkStart w:id="29" w:name="_Toc197201580"/>
      <w:r>
        <w:rPr>
          <w:rFonts w:ascii="黑体" w:hAnsi="黑体" w:eastAsia="黑体"/>
          <w:b w:val="0"/>
          <w:sz w:val="28"/>
          <w:szCs w:val="28"/>
        </w:rPr>
        <w:t>3.3.3 防治效果评估与迭代滞后</w:t>
      </w:r>
      <w:r>
        <w:rPr>
          <w:rFonts w:hint="eastAsia" w:ascii="MS Mincho" w:hAnsi="MS Mincho" w:eastAsia="MS Mincho" w:cs="MS Mincho"/>
          <w:b w:val="0"/>
          <w:sz w:val="28"/>
          <w:szCs w:val="28"/>
        </w:rPr>
        <w:t>​</w:t>
      </w:r>
      <w:bookmarkEnd w:id="29"/>
    </w:p>
    <w:p w14:paraId="54B405C7">
      <w:pPr>
        <w:spacing w:line="300" w:lineRule="auto"/>
        <w:ind w:firstLine="480" w:firstLineChars="200"/>
        <w:jc w:val="left"/>
        <w:rPr>
          <w:rFonts w:asciiTheme="minorEastAsia" w:hAnsiTheme="minorEastAsia"/>
          <w:sz w:val="24"/>
        </w:rPr>
      </w:pPr>
      <w:r>
        <w:rPr>
          <w:rFonts w:asciiTheme="minorEastAsia" w:hAnsiTheme="minorEastAsia"/>
          <w:sz w:val="24"/>
        </w:rPr>
        <w:t>京东仓库目前对于虫害发生率、药剂有效周期等关键指标没有进行系统的统计和分析，这使得无法准确判断防治措施是否有效，以及防治效果的好坏程度。没有准确的虫害发生率统计，就无法了解仓库内虫害问题的严重程度和发展趋势，难以评估防治工作的成效。对于药剂有效周期缺乏研究，可能会导致在药剂失效后仍继续使用，不仅无法达到防治目的，还会浪费资源和增加成本。</w:t>
      </w:r>
      <w:r>
        <w:rPr>
          <w:rFonts w:hint="eastAsia" w:ascii="MS Mincho" w:hAnsi="MS Mincho" w:eastAsia="MS Mincho" w:cs="MS Mincho"/>
          <w:sz w:val="24"/>
        </w:rPr>
        <w:t>​</w:t>
      </w:r>
    </w:p>
    <w:p w14:paraId="3084E5B7">
      <w:pPr>
        <w:spacing w:line="300" w:lineRule="auto"/>
        <w:ind w:firstLine="480" w:firstLineChars="200"/>
        <w:jc w:val="left"/>
        <w:rPr>
          <w:rFonts w:asciiTheme="minorEastAsia" w:hAnsiTheme="minorEastAsia"/>
          <w:sz w:val="24"/>
        </w:rPr>
      </w:pPr>
      <w:r>
        <w:rPr>
          <w:rFonts w:asciiTheme="minorEastAsia" w:hAnsiTheme="minorEastAsia"/>
          <w:sz w:val="24"/>
        </w:rPr>
        <w:t>由于缺乏量化评估指标，京东仓库未建立基于历史数据的防治方案动态优化机制。长期沿用固定的消杀频率与药剂类型，随着时间的推移，害虫对这些药剂逐渐产生抗药性，防治效果越来越差。如果一直使用同一种拟除虫菊酯类药剂进行消杀，害虫在长期接触后会逐渐适应这种药剂，其生理结构和代谢方式会发生变化，从而对药剂产生抗性。此时，如果不及时调整防治方案，更换药剂类型或调整消杀频率，就无法有效控制虫害的发生。没有根据历史数据对防治方案进行优化，也无法充分利用以往的经验教训，无法及时发现防治工作中存在的问题并加以改进，导致防治工作陷入被动局面，难以适应不断变化的虫害形势。</w:t>
      </w:r>
    </w:p>
    <w:p w14:paraId="2207BBE2">
      <w:pPr>
        <w:spacing w:line="300" w:lineRule="auto"/>
        <w:ind w:firstLine="420" w:firstLineChars="200"/>
        <w:jc w:val="left"/>
      </w:pPr>
    </w:p>
    <w:p w14:paraId="0EB13A37">
      <w:pPr>
        <w:spacing w:line="300" w:lineRule="auto"/>
        <w:ind w:firstLine="480" w:firstLineChars="200"/>
        <w:rPr>
          <w:rFonts w:asciiTheme="minorEastAsia" w:hAnsiTheme="minorEastAsia"/>
          <w:sz w:val="24"/>
        </w:rPr>
      </w:pPr>
    </w:p>
    <w:p w14:paraId="1F365258">
      <w:pPr>
        <w:spacing w:line="300" w:lineRule="auto"/>
        <w:ind w:firstLine="480" w:firstLineChars="200"/>
        <w:rPr>
          <w:rFonts w:asciiTheme="minorEastAsia" w:hAnsiTheme="minorEastAsia"/>
          <w:sz w:val="24"/>
        </w:rPr>
      </w:pPr>
    </w:p>
    <w:p w14:paraId="4486D067">
      <w:pPr>
        <w:spacing w:line="300" w:lineRule="auto"/>
        <w:ind w:firstLine="480" w:firstLineChars="200"/>
        <w:rPr>
          <w:rFonts w:asciiTheme="minorEastAsia" w:hAnsiTheme="minorEastAsia"/>
          <w:sz w:val="24"/>
        </w:rPr>
      </w:pPr>
    </w:p>
    <w:p w14:paraId="14114B32">
      <w:pPr>
        <w:spacing w:line="300" w:lineRule="auto"/>
        <w:ind w:firstLine="480" w:firstLineChars="200"/>
        <w:rPr>
          <w:rFonts w:ascii="宋体" w:hAnsi="宋体" w:eastAsia="宋体" w:cs="Times New Roman"/>
          <w:sz w:val="24"/>
        </w:rPr>
      </w:pPr>
    </w:p>
    <w:bookmarkEnd w:id="16"/>
    <w:p w14:paraId="6F043765">
      <w:pPr>
        <w:pStyle w:val="2"/>
        <w:spacing w:before="0" w:after="0" w:line="300" w:lineRule="auto"/>
        <w:ind w:firstLine="600" w:firstLineChars="200"/>
        <w:jc w:val="center"/>
        <w:rPr>
          <w:rFonts w:ascii="黑体" w:hAnsi="黑体" w:eastAsia="黑体"/>
          <w:b w:val="0"/>
          <w:sz w:val="30"/>
          <w:szCs w:val="30"/>
        </w:rPr>
      </w:pPr>
      <w:bookmarkStart w:id="30" w:name="_Toc118985601"/>
      <w:bookmarkStart w:id="31" w:name="_Toc197201581"/>
      <w:r>
        <w:rPr>
          <w:rFonts w:hint="eastAsia" w:ascii="黑体" w:hAnsi="黑体" w:eastAsia="黑体"/>
          <w:b w:val="0"/>
          <w:sz w:val="30"/>
          <w:szCs w:val="30"/>
        </w:rPr>
        <w:t xml:space="preserve">第四章 </w:t>
      </w:r>
      <w:r>
        <w:rPr>
          <w:rFonts w:ascii="黑体" w:hAnsi="黑体" w:eastAsia="黑体"/>
          <w:b w:val="0"/>
          <w:sz w:val="30"/>
          <w:szCs w:val="30"/>
        </w:rPr>
        <w:t xml:space="preserve"> </w:t>
      </w:r>
      <w:r>
        <w:rPr>
          <w:rFonts w:hint="eastAsia" w:ascii="黑体" w:hAnsi="黑体" w:eastAsia="黑体"/>
          <w:b w:val="0"/>
          <w:sz w:val="30"/>
          <w:szCs w:val="30"/>
        </w:rPr>
        <w:t>京东物流库存管理优化方案</w:t>
      </w:r>
      <w:bookmarkEnd w:id="30"/>
      <w:bookmarkEnd w:id="31"/>
    </w:p>
    <w:p w14:paraId="4C3F85A0">
      <w:pPr>
        <w:pStyle w:val="3"/>
        <w:spacing w:line="300" w:lineRule="auto"/>
        <w:ind w:firstLine="560" w:firstLineChars="200"/>
        <w:rPr>
          <w:rFonts w:ascii="MS Mincho" w:hAnsi="MS Mincho" w:cs="MS Mincho" w:eastAsiaTheme="minorEastAsia"/>
          <w:b w:val="0"/>
        </w:rPr>
      </w:pPr>
      <w:bookmarkStart w:id="32" w:name="_Toc197201582"/>
      <w:r>
        <w:rPr>
          <w:rFonts w:ascii="黑体" w:hAnsi="黑体" w:eastAsia="黑体"/>
          <w:b w:val="0"/>
        </w:rPr>
        <w:t>4.1 构建差异化分类防控体系</w:t>
      </w:r>
      <w:r>
        <w:rPr>
          <w:rFonts w:hint="eastAsia" w:ascii="MS Mincho" w:hAnsi="MS Mincho" w:eastAsia="MS Mincho" w:cs="MS Mincho"/>
          <w:b w:val="0"/>
        </w:rPr>
        <w:t>​</w:t>
      </w:r>
      <w:bookmarkEnd w:id="32"/>
    </w:p>
    <w:p w14:paraId="453AD780">
      <w:pPr>
        <w:pStyle w:val="4"/>
        <w:spacing w:before="0" w:after="0" w:line="300" w:lineRule="auto"/>
        <w:ind w:firstLine="560" w:firstLineChars="200"/>
        <w:rPr>
          <w:rFonts w:ascii="MS Mincho" w:hAnsi="MS Mincho" w:cs="MS Mincho"/>
          <w:b w:val="0"/>
          <w:sz w:val="28"/>
          <w:szCs w:val="28"/>
        </w:rPr>
      </w:pPr>
      <w:bookmarkStart w:id="33" w:name="_Toc197201583"/>
      <w:r>
        <w:rPr>
          <w:rFonts w:ascii="黑体" w:hAnsi="黑体" w:eastAsia="黑体"/>
          <w:b w:val="0"/>
          <w:sz w:val="28"/>
          <w:szCs w:val="28"/>
        </w:rPr>
        <w:t>4.1.1 货区细分与针对性防治方案</w:t>
      </w:r>
      <w:r>
        <w:rPr>
          <w:rFonts w:hint="eastAsia" w:ascii="MS Mincho" w:hAnsi="MS Mincho" w:eastAsia="MS Mincho" w:cs="MS Mincho"/>
          <w:b w:val="0"/>
          <w:sz w:val="28"/>
          <w:szCs w:val="28"/>
        </w:rPr>
        <w:t>​</w:t>
      </w:r>
      <w:bookmarkEnd w:id="33"/>
    </w:p>
    <w:p w14:paraId="63F7EDCD">
      <w:pPr>
        <w:spacing w:line="300" w:lineRule="auto"/>
        <w:ind w:firstLine="480" w:firstLineChars="200"/>
        <w:rPr>
          <w:rFonts w:asciiTheme="minorEastAsia" w:hAnsiTheme="minorEastAsia"/>
          <w:sz w:val="24"/>
        </w:rPr>
      </w:pPr>
      <w:r>
        <w:rPr>
          <w:rFonts w:asciiTheme="minorEastAsia" w:hAnsiTheme="minorEastAsia"/>
          <w:sz w:val="24"/>
        </w:rPr>
        <w:t xml:space="preserve">食品仓：在食品仓的虫害防治中，推行 “源头检疫 </w:t>
      </w:r>
      <w:r>
        <w:rPr>
          <w:rFonts w:cs="Calibri" w:asciiTheme="minorEastAsia" w:hAnsiTheme="minorEastAsia"/>
          <w:sz w:val="24"/>
        </w:rPr>
        <w:t xml:space="preserve">+ </w:t>
      </w:r>
      <w:r>
        <w:rPr>
          <w:rFonts w:asciiTheme="minorEastAsia" w:hAnsiTheme="minorEastAsia"/>
          <w:sz w:val="24"/>
        </w:rPr>
        <w:t xml:space="preserve">气调包装 </w:t>
      </w:r>
      <w:r>
        <w:rPr>
          <w:rFonts w:cs="Calibri" w:asciiTheme="minorEastAsia" w:hAnsiTheme="minorEastAsia"/>
          <w:sz w:val="24"/>
        </w:rPr>
        <w:t xml:space="preserve">+ </w:t>
      </w:r>
      <w:r>
        <w:rPr>
          <w:rFonts w:asciiTheme="minorEastAsia" w:hAnsiTheme="minorEastAsia"/>
          <w:sz w:val="24"/>
        </w:rPr>
        <w:t>生物防治” 的综合防治模式。在货物入库前，严格执行抽检制度，利用先进的检测设备，仔细检查食品中是否存在虫卵，确保从源头上减少虫害的隐患。对于易受虫害影响的食品，采用气调包装技术，通过调整包装内的气体成分，抑制害虫的生长和繁殖。在包装内充入高浓度的氮气，降低氧气含量，使害虫无法在这样的环境中生存。同时，在食品仓内部署性信息素诱捕器，利用害虫的性信息素吸引成虫，将其捕获并灭杀，有效控制害虫种群数量，保障食品的安全存储。</w:t>
      </w:r>
      <w:r>
        <w:rPr>
          <w:rFonts w:hint="eastAsia" w:ascii="MS Mincho" w:hAnsi="MS Mincho" w:eastAsia="MS Mincho" w:cs="MS Mincho"/>
          <w:sz w:val="24"/>
        </w:rPr>
        <w:t>​</w:t>
      </w:r>
    </w:p>
    <w:p w14:paraId="337DC128">
      <w:pPr>
        <w:spacing w:line="300" w:lineRule="auto"/>
        <w:ind w:firstLine="480" w:firstLineChars="200"/>
        <w:rPr>
          <w:rFonts w:asciiTheme="minorEastAsia" w:hAnsiTheme="minorEastAsia"/>
          <w:sz w:val="24"/>
        </w:rPr>
      </w:pPr>
      <w:r>
        <w:rPr>
          <w:rFonts w:asciiTheme="minorEastAsia" w:hAnsiTheme="minorEastAsia"/>
          <w:sz w:val="24"/>
        </w:rPr>
        <w:t xml:space="preserve">图书 </w:t>
      </w:r>
      <w:r>
        <w:rPr>
          <w:rFonts w:cs="Calibri" w:asciiTheme="minorEastAsia" w:hAnsiTheme="minorEastAsia"/>
          <w:sz w:val="24"/>
        </w:rPr>
        <w:t xml:space="preserve">/ </w:t>
      </w:r>
      <w:r>
        <w:rPr>
          <w:rFonts w:asciiTheme="minorEastAsia" w:hAnsiTheme="minorEastAsia"/>
          <w:sz w:val="24"/>
        </w:rPr>
        <w:t xml:space="preserve">电子仓：图书和电子仓由于其存储商品的特殊性，对虫害防治提出了更高的要求。针对受潮易滋生虫害的图书，采用低温杀虫技术，将受潮图书放置在 </w:t>
      </w:r>
      <w:r>
        <w:rPr>
          <w:rFonts w:cs="Calibri" w:asciiTheme="minorEastAsia" w:hAnsiTheme="minorEastAsia"/>
          <w:sz w:val="24"/>
        </w:rPr>
        <w:t>- 18</w:t>
      </w:r>
      <w:r>
        <w:rPr>
          <w:rFonts w:asciiTheme="minorEastAsia" w:hAnsiTheme="minorEastAsia"/>
          <w:sz w:val="24"/>
        </w:rPr>
        <w:t>℃的低温环境中进行冷冻处理，通过低温破坏害虫的生理结构，达到杀虫的目的。在图书和电子设备的表面应用纳米涂层防蛀技术，这种纳米涂层具有特殊的物理和化学性质，能够有效阻止害虫的侵蚀。配合使用粘虫板，将粘虫板放置在仓库的各个角落，特别是书架底部、电子设备存储架周围等位置，实时监测衣鱼、书虱等害虫的活动情况，一旦发现害虫踪迹，及时采取相应的防治措施。</w:t>
      </w:r>
    </w:p>
    <w:p w14:paraId="1C654100">
      <w:pPr>
        <w:spacing w:line="300" w:lineRule="auto"/>
        <w:ind w:firstLine="480" w:firstLineChars="200"/>
        <w:rPr>
          <w:rFonts w:ascii="MS Mincho" w:hAnsi="MS Mincho" w:cs="MS Mincho"/>
          <w:sz w:val="24"/>
        </w:rPr>
      </w:pPr>
      <w:r>
        <w:rPr>
          <w:rFonts w:hint="eastAsia" w:ascii="MS Mincho" w:hAnsi="MS Mincho" w:eastAsia="MS Mincho" w:cs="MS Mincho"/>
          <w:sz w:val="24"/>
        </w:rPr>
        <w:t>​</w:t>
      </w:r>
      <w:r>
        <w:rPr>
          <w:rFonts w:hint="eastAsia" w:ascii="MS Mincho" w:hAnsi="MS Mincho" w:cs="MS Mincho"/>
          <w:sz w:val="24"/>
        </w:rPr>
        <w:t xml:space="preserve"> </w:t>
      </w:r>
      <w:r>
        <w:rPr>
          <w:rFonts w:ascii="MS Mincho" w:hAnsi="MS Mincho" w:cs="MS Mincho"/>
          <w:sz w:val="24"/>
        </w:rPr>
        <w:t xml:space="preserve"> </w:t>
      </w:r>
      <w:r>
        <w:rPr>
          <w:rFonts w:asciiTheme="minorEastAsia" w:hAnsiTheme="minorEastAsia"/>
          <w:sz w:val="24"/>
        </w:rPr>
        <w:t>冷链仓：冷链仓的低温环境虽然对一些害虫有一定的抑制作用，但也存在耐低温害虫的威胁。在货物入库前的预冷环节，加强虫害筛查工作，利用专业的检测工具，对货物进行全面检查，确保没有害虫混入。针对螨类等耐低温害虫，使用耐低温生物菌剂，如白僵菌，白僵菌能够在低温环境下生长繁殖，并寄生在害虫体内，从而控制螨类害虫的数量。定期对冷链仓的保温设备缝隙进行高温消杀，利用高温蒸汽或热风机等设备，将缝隙内的害虫及其虫卵杀灭，防止害虫在缝隙中隐匿繁殖 。</w:t>
      </w:r>
      <w:r>
        <w:rPr>
          <w:rFonts w:hint="eastAsia" w:ascii="MS Mincho" w:hAnsi="MS Mincho" w:eastAsia="MS Mincho" w:cs="MS Mincho"/>
          <w:sz w:val="24"/>
        </w:rPr>
        <w:t>​</w:t>
      </w:r>
    </w:p>
    <w:p w14:paraId="56E088E4">
      <w:pPr>
        <w:pStyle w:val="4"/>
        <w:spacing w:before="0" w:after="0" w:line="300" w:lineRule="auto"/>
        <w:ind w:firstLine="560" w:firstLineChars="200"/>
        <w:rPr>
          <w:rFonts w:ascii="MS Mincho" w:hAnsi="MS Mincho" w:cs="MS Mincho"/>
          <w:b w:val="0"/>
          <w:sz w:val="28"/>
          <w:szCs w:val="28"/>
        </w:rPr>
      </w:pPr>
      <w:bookmarkStart w:id="34" w:name="_Toc197201584"/>
      <w:r>
        <w:rPr>
          <w:rFonts w:ascii="黑体" w:hAnsi="黑体" w:eastAsia="黑体"/>
          <w:b w:val="0"/>
          <w:sz w:val="28"/>
          <w:szCs w:val="28"/>
        </w:rPr>
        <w:t>4.1.2 外来虫害入侵阻断策略</w:t>
      </w:r>
      <w:r>
        <w:rPr>
          <w:rFonts w:hint="eastAsia" w:ascii="MS Mincho" w:hAnsi="MS Mincho" w:eastAsia="MS Mincho" w:cs="MS Mincho"/>
          <w:b w:val="0"/>
          <w:sz w:val="28"/>
          <w:szCs w:val="28"/>
        </w:rPr>
        <w:t>​</w:t>
      </w:r>
      <w:bookmarkEnd w:id="34"/>
    </w:p>
    <w:p w14:paraId="5103BBB7">
      <w:pPr>
        <w:spacing w:line="300" w:lineRule="auto"/>
        <w:ind w:firstLine="480" w:firstLineChars="200"/>
        <w:rPr>
          <w:rFonts w:asciiTheme="minorEastAsia" w:hAnsiTheme="minorEastAsia"/>
          <w:sz w:val="24"/>
        </w:rPr>
      </w:pPr>
      <w:r>
        <w:rPr>
          <w:rFonts w:asciiTheme="minorEastAsia" w:hAnsiTheme="minorEastAsia"/>
          <w:sz w:val="24"/>
        </w:rPr>
        <w:t xml:space="preserve">为了有效阻断外来虫害的入侵，建立 “运输包装检疫 </w:t>
      </w:r>
      <w:r>
        <w:rPr>
          <w:rFonts w:cs="Calibri" w:asciiTheme="minorEastAsia" w:hAnsiTheme="minorEastAsia"/>
          <w:sz w:val="24"/>
        </w:rPr>
        <w:t xml:space="preserve">- </w:t>
      </w:r>
      <w:r>
        <w:rPr>
          <w:rFonts w:asciiTheme="minorEastAsia" w:hAnsiTheme="minorEastAsia"/>
          <w:sz w:val="24"/>
        </w:rPr>
        <w:t xml:space="preserve">卸货区消杀 </w:t>
      </w:r>
      <w:r>
        <w:rPr>
          <w:rFonts w:cs="Calibri" w:asciiTheme="minorEastAsia" w:hAnsiTheme="minorEastAsia"/>
          <w:sz w:val="24"/>
        </w:rPr>
        <w:t xml:space="preserve">- </w:t>
      </w:r>
      <w:r>
        <w:rPr>
          <w:rFonts w:asciiTheme="minorEastAsia" w:hAnsiTheme="minorEastAsia"/>
          <w:sz w:val="24"/>
        </w:rPr>
        <w:t>隔离存放” 三级管控流程。在货物运输环节，对第三方物流提供的运输包装进行严格检疫，使用紫外灯照射消毒设备，对包装表面进行全面照射，利用紫外线的杀菌作用，杀灭可能存在的害虫和虫卵。在卸货区，配置专业的消杀设备，对刚卸载的货物进行再次消杀，确保货物在进入仓库前处于无虫害状态。设立隔离存放区域，将新入库的货物先放置在隔离区进行观察，在观察期内，对货物进行进一步的检查和监测，确认无虫害后，再将其转移到正常存储区域。</w:t>
      </w:r>
      <w:r>
        <w:rPr>
          <w:rFonts w:hint="eastAsia" w:ascii="MS Mincho" w:hAnsi="MS Mincho" w:eastAsia="MS Mincho" w:cs="MS Mincho"/>
          <w:sz w:val="24"/>
        </w:rPr>
        <w:t>​</w:t>
      </w:r>
    </w:p>
    <w:p w14:paraId="41432E4E">
      <w:pPr>
        <w:spacing w:line="300" w:lineRule="auto"/>
        <w:ind w:firstLine="480" w:firstLineChars="200"/>
        <w:rPr>
          <w:rFonts w:ascii="MS Mincho" w:hAnsi="MS Mincho" w:cs="MS Mincho"/>
          <w:sz w:val="24"/>
        </w:rPr>
      </w:pPr>
      <w:r>
        <w:rPr>
          <w:rFonts w:asciiTheme="minorEastAsia" w:hAnsiTheme="minorEastAsia"/>
          <w:sz w:val="24"/>
        </w:rPr>
        <w:t xml:space="preserve">引入 </w:t>
      </w:r>
      <w:r>
        <w:rPr>
          <w:rFonts w:cs="Calibri" w:asciiTheme="minorEastAsia" w:hAnsiTheme="minorEastAsia"/>
          <w:sz w:val="24"/>
        </w:rPr>
        <w:t xml:space="preserve">AI </w:t>
      </w:r>
      <w:r>
        <w:rPr>
          <w:rFonts w:asciiTheme="minorEastAsia" w:hAnsiTheme="minorEastAsia"/>
          <w:sz w:val="24"/>
        </w:rPr>
        <w:t>视觉检测系统，利用人工智能和计算机视觉技术，对货物包装进行智能识别。该系统能够快速准确地检测出包装是否存在破损、变形等情况，以及是否有虫害痕迹，如虫洞、虫粪等。一旦发现异常，系统立即发出警报，通知工作人员进行处理，从而有效阻止携带虫害的货物进入仓库，降低外来虫害入侵的风险 。</w:t>
      </w:r>
      <w:r>
        <w:rPr>
          <w:rFonts w:hint="eastAsia" w:ascii="MS Mincho" w:hAnsi="MS Mincho" w:eastAsia="MS Mincho" w:cs="MS Mincho"/>
          <w:sz w:val="24"/>
        </w:rPr>
        <w:t>​</w:t>
      </w:r>
    </w:p>
    <w:p w14:paraId="7FB2DA10">
      <w:pPr>
        <w:pStyle w:val="3"/>
        <w:spacing w:line="300" w:lineRule="auto"/>
        <w:ind w:firstLine="560" w:firstLineChars="200"/>
        <w:rPr>
          <w:rFonts w:ascii="MS Mincho" w:hAnsi="MS Mincho" w:cs="MS Mincho" w:eastAsiaTheme="minorEastAsia"/>
          <w:b w:val="0"/>
        </w:rPr>
      </w:pPr>
      <w:bookmarkStart w:id="35" w:name="_Toc197201585"/>
      <w:r>
        <w:rPr>
          <w:rFonts w:ascii="黑体" w:hAnsi="黑体" w:eastAsia="黑体"/>
          <w:b w:val="0"/>
        </w:rPr>
        <w:t>4.2 升级智能化监测与绿色防控技术</w:t>
      </w:r>
      <w:r>
        <w:rPr>
          <w:rFonts w:hint="eastAsia" w:ascii="MS Mincho" w:hAnsi="MS Mincho" w:eastAsia="MS Mincho" w:cs="MS Mincho"/>
          <w:b w:val="0"/>
        </w:rPr>
        <w:t>​</w:t>
      </w:r>
      <w:bookmarkEnd w:id="35"/>
    </w:p>
    <w:p w14:paraId="525F1E66">
      <w:pPr>
        <w:pStyle w:val="4"/>
        <w:spacing w:before="0" w:after="0" w:line="300" w:lineRule="auto"/>
        <w:ind w:firstLine="560" w:firstLineChars="200"/>
        <w:rPr>
          <w:rFonts w:ascii="MS Mincho" w:hAnsi="MS Mincho" w:cs="MS Mincho"/>
          <w:b w:val="0"/>
          <w:sz w:val="28"/>
          <w:szCs w:val="28"/>
        </w:rPr>
      </w:pPr>
      <w:bookmarkStart w:id="36" w:name="_Toc197201586"/>
      <w:r>
        <w:rPr>
          <w:rFonts w:ascii="黑体" w:hAnsi="黑体" w:eastAsia="黑体"/>
          <w:b w:val="0"/>
          <w:sz w:val="28"/>
          <w:szCs w:val="28"/>
        </w:rPr>
        <w:t>4.2.1 全仓智能监测网络建设</w:t>
      </w:r>
      <w:r>
        <w:rPr>
          <w:rFonts w:hint="eastAsia" w:ascii="MS Mincho" w:hAnsi="MS Mincho" w:eastAsia="MS Mincho" w:cs="MS Mincho"/>
          <w:b w:val="0"/>
          <w:sz w:val="28"/>
          <w:szCs w:val="28"/>
        </w:rPr>
        <w:t>​</w:t>
      </w:r>
      <w:bookmarkEnd w:id="36"/>
    </w:p>
    <w:p w14:paraId="226A6EFD">
      <w:pPr>
        <w:spacing w:line="300" w:lineRule="auto"/>
        <w:ind w:firstLine="480" w:firstLineChars="200"/>
        <w:rPr>
          <w:rFonts w:asciiTheme="minorEastAsia" w:hAnsiTheme="minorEastAsia"/>
          <w:sz w:val="24"/>
        </w:rPr>
      </w:pPr>
      <w:r>
        <w:rPr>
          <w:rFonts w:asciiTheme="minorEastAsia" w:hAnsiTheme="minorEastAsia"/>
          <w:sz w:val="24"/>
        </w:rPr>
        <w:t>为了实现对京东仓库虫害的全面、实时监测，部署物联网虫害监测系统，构建全仓智能监测网络。该系统集成了诱捕器传感器、红外摄像头与温湿度监测模块等多种设备，实现对仓库环境和虫害情况的全方位数据采集。诱捕器传感器能够实时监测诱捕器内害虫的数量变化，一旦害虫数量超过设定阈值，传感器立即向监控中心发送警报信息。红外摄像头则对仓库内的货物存储区域进行实时监控，通过图像识别技术，及时发现害虫的活动踪迹，如害虫在货物上爬行、聚集等情况。温湿度监测模块则负责监测仓库内的温湿度变化，将温湿度数据实时传输到监控中心。</w:t>
      </w:r>
      <w:r>
        <w:rPr>
          <w:rFonts w:hint="eastAsia" w:ascii="MS Mincho" w:hAnsi="MS Mincho" w:eastAsia="MS Mincho" w:cs="MS Mincho"/>
          <w:sz w:val="24"/>
        </w:rPr>
        <w:t>​</w:t>
      </w:r>
    </w:p>
    <w:p w14:paraId="7B8F6132">
      <w:pPr>
        <w:spacing w:line="300" w:lineRule="auto"/>
        <w:ind w:firstLine="480" w:firstLineChars="200"/>
        <w:rPr>
          <w:rFonts w:ascii="MS Mincho" w:hAnsi="MS Mincho" w:cs="MS Mincho"/>
          <w:sz w:val="24"/>
        </w:rPr>
      </w:pPr>
      <w:r>
        <w:rPr>
          <w:rFonts w:asciiTheme="minorEastAsia" w:hAnsiTheme="minorEastAsia"/>
          <w:sz w:val="24"/>
        </w:rPr>
        <w:t xml:space="preserve">利用大数据分析技术，对采集到的海量数据进行深入分析，挖掘虫害活动规律。通过分析不同时间段、不同区域的虫害发生数据，以及温湿度、货物种类等相关因素，建立虫害预测模型，提前预测虫害的发生趋势。当监测到某区域的温湿度接近害虫适宜繁殖的条件，且该区域存储的货物为易受虫害的品类时，系统能够及时发出预警，提醒工作人员提前采取防治措施，实现“监测 </w:t>
      </w:r>
      <w:r>
        <w:rPr>
          <w:rFonts w:cs="Calibri" w:asciiTheme="minorEastAsia" w:hAnsiTheme="minorEastAsia"/>
          <w:sz w:val="24"/>
        </w:rPr>
        <w:t xml:space="preserve">- </w:t>
      </w:r>
      <w:r>
        <w:rPr>
          <w:rFonts w:asciiTheme="minorEastAsia" w:hAnsiTheme="minorEastAsia"/>
          <w:sz w:val="24"/>
        </w:rPr>
        <w:t xml:space="preserve">预警 </w:t>
      </w:r>
      <w:r>
        <w:rPr>
          <w:rFonts w:cs="Calibri" w:asciiTheme="minorEastAsia" w:hAnsiTheme="minorEastAsia"/>
          <w:sz w:val="24"/>
        </w:rPr>
        <w:t xml:space="preserve">- </w:t>
      </w:r>
      <w:r>
        <w:rPr>
          <w:rFonts w:asciiTheme="minorEastAsia" w:hAnsiTheme="minorEastAsia"/>
          <w:sz w:val="24"/>
        </w:rPr>
        <w:t>处置” 闭环管理，有效提高虫害防治的及时性和精准性 。</w:t>
      </w:r>
      <w:r>
        <w:rPr>
          <w:rFonts w:hint="eastAsia" w:ascii="MS Mincho" w:hAnsi="MS Mincho" w:eastAsia="MS Mincho" w:cs="MS Mincho"/>
          <w:sz w:val="24"/>
        </w:rPr>
        <w:t>​</w:t>
      </w:r>
    </w:p>
    <w:p w14:paraId="521E03BE">
      <w:pPr>
        <w:pStyle w:val="4"/>
        <w:spacing w:before="0" w:after="0" w:line="300" w:lineRule="auto"/>
        <w:ind w:firstLine="560" w:firstLineChars="200"/>
        <w:rPr>
          <w:rFonts w:ascii="MS Mincho" w:hAnsi="MS Mincho" w:cs="MS Mincho"/>
          <w:b w:val="0"/>
          <w:sz w:val="28"/>
          <w:szCs w:val="28"/>
        </w:rPr>
      </w:pPr>
      <w:bookmarkStart w:id="37" w:name="_Toc197201587"/>
      <w:r>
        <w:rPr>
          <w:rFonts w:ascii="黑体" w:hAnsi="黑体" w:eastAsia="黑体"/>
          <w:b w:val="0"/>
          <w:sz w:val="28"/>
          <w:szCs w:val="28"/>
        </w:rPr>
        <w:t>4.2.2 多元化绿色防控技术应用</w:t>
      </w:r>
      <w:r>
        <w:rPr>
          <w:rFonts w:hint="eastAsia" w:ascii="MS Mincho" w:hAnsi="MS Mincho" w:eastAsia="MS Mincho" w:cs="MS Mincho"/>
          <w:b w:val="0"/>
          <w:sz w:val="28"/>
          <w:szCs w:val="28"/>
        </w:rPr>
        <w:t>​</w:t>
      </w:r>
      <w:bookmarkEnd w:id="37"/>
    </w:p>
    <w:p w14:paraId="5905650C">
      <w:pPr>
        <w:spacing w:line="300" w:lineRule="auto"/>
        <w:ind w:firstLine="480" w:firstLineChars="200"/>
        <w:rPr>
          <w:rFonts w:asciiTheme="minorEastAsia" w:hAnsiTheme="minorEastAsia"/>
          <w:sz w:val="24"/>
        </w:rPr>
      </w:pPr>
      <w:r>
        <w:rPr>
          <w:rFonts w:asciiTheme="minorEastAsia" w:hAnsiTheme="minorEastAsia"/>
          <w:sz w:val="24"/>
        </w:rPr>
        <w:t xml:space="preserve">物理防治：在京东仓库中，积极推广气调储粮技术，特别是在粮食类商品的存储区域。通过充入氮气等惰性气体，降低仓库内的氧气含量，使害虫因缺氧而无法生存和繁殖。这种方法不仅能够有效防治虫害，还能保持粮食的品质和营养成分。对于已经感染虫害的货物，采用高温灭菌技术，将货物放置在 </w:t>
      </w:r>
      <w:r>
        <w:rPr>
          <w:rFonts w:cs="Calibri" w:asciiTheme="minorEastAsia" w:hAnsiTheme="minorEastAsia"/>
          <w:sz w:val="24"/>
        </w:rPr>
        <w:t>60</w:t>
      </w:r>
      <w:r>
        <w:rPr>
          <w:rFonts w:asciiTheme="minorEastAsia" w:hAnsiTheme="minorEastAsia"/>
          <w:sz w:val="24"/>
        </w:rPr>
        <w:t>℃的热风循环环境中进行处理，通过高温杀灭害虫及其虫卵，确保货物的安全。在仓库的结构屏障方面，对防虫网进行升级，选用更细密、更坚固的防虫网，安装在仓库的门窗、通风口等位置，阻止害虫进入仓库。同时，使用密封胶条对仓库的缝隙、孔洞进行密封处理，减少害虫隐匿的空间，进一步增强仓库的防虫能力。</w:t>
      </w:r>
      <w:r>
        <w:rPr>
          <w:rFonts w:hint="eastAsia" w:ascii="MS Mincho" w:hAnsi="MS Mincho" w:eastAsia="MS Mincho" w:cs="MS Mincho"/>
          <w:sz w:val="24"/>
        </w:rPr>
        <w:t>​</w:t>
      </w:r>
      <w:r>
        <w:rPr>
          <w:rFonts w:cs="Arial" w:asciiTheme="minorEastAsia" w:hAnsiTheme="minorEastAsia"/>
          <w:sz w:val="24"/>
        </w:rPr>
        <w:t xml:space="preserve"> </w:t>
      </w:r>
      <w:r>
        <w:rPr>
          <w:rFonts w:asciiTheme="minorEastAsia" w:hAnsiTheme="minorEastAsia"/>
          <w:sz w:val="24"/>
        </w:rPr>
        <w:t>生物防治：引入赤眼蜂等天敌昆虫，赤眼蜂是蛾类害虫的天敌，它能够将卵产在蛾类害虫的卵内，使蛾类害虫的卵无法孵化，从而达到控制蛾类害虫数量的目的。在仓库内释放适量的赤眼蜂，根据蛾类害虫的发生情况和仓库的面积，合理调整赤眼蜂的释放密度，确保生物防治的效果。捕食螨也是一种有效的生物防治手段，它能够捕食仓库内的螨类害虫，维持仓库内的生态平衡。使用苏云金杆菌（</w:t>
      </w:r>
      <w:r>
        <w:rPr>
          <w:rFonts w:cs="Calibri" w:asciiTheme="minorEastAsia" w:hAnsiTheme="minorEastAsia"/>
          <w:sz w:val="24"/>
        </w:rPr>
        <w:t>Bt</w:t>
      </w:r>
      <w:r>
        <w:rPr>
          <w:rFonts w:asciiTheme="minorEastAsia" w:hAnsiTheme="minorEastAsia"/>
          <w:sz w:val="24"/>
        </w:rPr>
        <w:t>）制剂替代化学农药喷洒，苏云金杆菌是一种对害虫具有特异性毒性的微生物，它能够在害虫体内产生毒素，导致害虫死亡，而对人类和环境无害。将苏云金杆菌制剂稀释后，喷洒在仓库内的货物表面和墙壁、地面等位置，定期进行喷洒，有效控制害虫的数量。</w:t>
      </w:r>
      <w:r>
        <w:rPr>
          <w:rFonts w:hint="eastAsia" w:ascii="MS Mincho" w:hAnsi="MS Mincho" w:eastAsia="MS Mincho" w:cs="MS Mincho"/>
          <w:sz w:val="24"/>
        </w:rPr>
        <w:t>​</w:t>
      </w:r>
    </w:p>
    <w:p w14:paraId="0B0ADCB0">
      <w:pPr>
        <w:spacing w:line="300" w:lineRule="auto"/>
        <w:ind w:firstLine="480" w:firstLineChars="200"/>
        <w:rPr>
          <w:rFonts w:asciiTheme="minorEastAsia" w:hAnsiTheme="minorEastAsia"/>
          <w:sz w:val="24"/>
        </w:rPr>
      </w:pPr>
      <w:r>
        <w:rPr>
          <w:rFonts w:asciiTheme="minorEastAsia" w:hAnsiTheme="minorEastAsia"/>
          <w:sz w:val="24"/>
        </w:rPr>
        <w:t>化学防治优化：在化学防治方面，选用低毒、低残留的药剂，如乙基多杀菌素，这种药剂具有高效、低毒、低残留的特点，能够在有效杀灭害虫的同时，减少对环境和货物的污染。结合虫害抗药性监测结果，建立害虫抗药性数据库，定期对仓库内的害虫进行抗药性检测，根据检测结果，合理轮换使用不同作用机制的药剂，避免害虫对单一药剂产生抗药性。当发现某种害虫对某种药剂产生抗药性时，及时更换为其他作用机制的药剂，确保化学防治的效果，降低农药依赖，实现绿色防治 。</w:t>
      </w:r>
    </w:p>
    <w:p w14:paraId="4E4CCD21">
      <w:pPr>
        <w:pStyle w:val="3"/>
        <w:spacing w:line="300" w:lineRule="auto"/>
        <w:ind w:firstLine="560" w:firstLineChars="200"/>
        <w:rPr>
          <w:rFonts w:ascii="MS Mincho" w:hAnsi="MS Mincho" w:cs="MS Mincho" w:eastAsiaTheme="minorEastAsia"/>
          <w:b w:val="0"/>
        </w:rPr>
      </w:pPr>
      <w:bookmarkStart w:id="38" w:name="_Toc197201588"/>
      <w:r>
        <w:rPr>
          <w:rFonts w:ascii="黑体" w:hAnsi="黑体" w:eastAsia="黑体"/>
          <w:b w:val="0"/>
        </w:rPr>
        <w:t>4.3 强化环境管理与人员能力建设</w:t>
      </w:r>
      <w:r>
        <w:rPr>
          <w:rFonts w:hint="eastAsia" w:ascii="MS Mincho" w:hAnsi="MS Mincho" w:eastAsia="MS Mincho" w:cs="MS Mincho"/>
          <w:b w:val="0"/>
        </w:rPr>
        <w:t>​</w:t>
      </w:r>
      <w:bookmarkEnd w:id="38"/>
    </w:p>
    <w:p w14:paraId="1AF071BD">
      <w:pPr>
        <w:pStyle w:val="4"/>
        <w:spacing w:before="0" w:after="0" w:line="300" w:lineRule="auto"/>
        <w:ind w:firstLine="560" w:firstLineChars="200"/>
        <w:rPr>
          <w:rFonts w:ascii="MS Mincho" w:hAnsi="MS Mincho" w:cs="MS Mincho"/>
          <w:b w:val="0"/>
          <w:sz w:val="28"/>
          <w:szCs w:val="28"/>
        </w:rPr>
      </w:pPr>
      <w:bookmarkStart w:id="39" w:name="_Toc197201589"/>
      <w:r>
        <w:rPr>
          <w:rFonts w:ascii="黑体" w:hAnsi="黑体" w:eastAsia="黑体"/>
          <w:b w:val="0"/>
          <w:sz w:val="28"/>
          <w:szCs w:val="28"/>
        </w:rPr>
        <w:t>4.3.1 精细化环境管控措施</w:t>
      </w:r>
      <w:r>
        <w:rPr>
          <w:rFonts w:hint="eastAsia" w:ascii="MS Mincho" w:hAnsi="MS Mincho" w:eastAsia="MS Mincho" w:cs="MS Mincho"/>
          <w:b w:val="0"/>
          <w:sz w:val="28"/>
          <w:szCs w:val="28"/>
        </w:rPr>
        <w:t>​</w:t>
      </w:r>
      <w:bookmarkEnd w:id="39"/>
    </w:p>
    <w:p w14:paraId="3A58CF56">
      <w:pPr>
        <w:spacing w:line="300" w:lineRule="auto"/>
        <w:ind w:firstLine="480" w:firstLineChars="200"/>
        <w:jc w:val="left"/>
        <w:rPr>
          <w:rFonts w:asciiTheme="minorEastAsia" w:hAnsiTheme="minorEastAsia"/>
          <w:sz w:val="24"/>
        </w:rPr>
      </w:pPr>
      <w:r>
        <w:rPr>
          <w:rFonts w:asciiTheme="minorEastAsia" w:hAnsiTheme="minorEastAsia"/>
          <w:sz w:val="24"/>
        </w:rPr>
        <w:t xml:space="preserve">制定详细的《仓库卫生清洁 </w:t>
      </w:r>
      <w:r>
        <w:rPr>
          <w:rFonts w:cs="Calibri" w:asciiTheme="minorEastAsia" w:hAnsiTheme="minorEastAsia"/>
          <w:sz w:val="24"/>
        </w:rPr>
        <w:t>SOP</w:t>
      </w:r>
      <w:r>
        <w:rPr>
          <w:rFonts w:asciiTheme="minorEastAsia" w:hAnsiTheme="minorEastAsia"/>
          <w:sz w:val="24"/>
        </w:rPr>
        <w:t>》，明确规定货架、传送带、排水系统等各个区域的清洁频次和清洁标准。货架应每天进行表面清洁，清除灰尘和杂物，每周进行一次深度清洁，检查货架的缝隙和角落是否有虫害痕迹；传送带在每次使用后都要进行清洁，防止货物残渣残留，吸引害虫；排水系统每周进行一次疏通和消毒，防止积水滋生蚊虫。引入机器人自动清扫设备，这些设备能够按照预设的路径和程序，对仓库地面进行全面清扫，减少人工疏漏，提高清洁效率。机器人自动清扫设备还可以配备吸尘和消毒功能，在清扫的同时，对地面进行吸尘和消毒处理，进一步改善仓库的卫生环境。</w:t>
      </w:r>
      <w:r>
        <w:rPr>
          <w:rFonts w:hint="eastAsia" w:ascii="MS Mincho" w:hAnsi="MS Mincho" w:eastAsia="MS Mincho" w:cs="MS Mincho"/>
          <w:sz w:val="24"/>
        </w:rPr>
        <w:t>​</w:t>
      </w:r>
    </w:p>
    <w:p w14:paraId="737B7477">
      <w:pPr>
        <w:spacing w:line="300" w:lineRule="auto"/>
        <w:ind w:firstLine="480" w:firstLineChars="200"/>
        <w:jc w:val="left"/>
        <w:rPr>
          <w:rFonts w:ascii="MS Mincho" w:hAnsi="MS Mincho" w:cs="MS Mincho"/>
          <w:sz w:val="24"/>
        </w:rPr>
      </w:pPr>
      <w:r>
        <w:rPr>
          <w:rFonts w:asciiTheme="minorEastAsia" w:hAnsiTheme="minorEastAsia"/>
          <w:sz w:val="24"/>
        </w:rPr>
        <w:t>升级温湿度智能调控系统，利用先进的传感器和智能控制系统，对仓库内的温湿度进行精准调控。根据不同货区的存储要求，设定个性化的环境参数阈值，如食品仓湿度应控制在≤</w:t>
      </w:r>
      <w:r>
        <w:rPr>
          <w:rFonts w:cs="Calibri" w:asciiTheme="minorEastAsia" w:hAnsiTheme="minorEastAsia"/>
          <w:sz w:val="24"/>
        </w:rPr>
        <w:t>60%</w:t>
      </w:r>
      <w:r>
        <w:rPr>
          <w:rFonts w:asciiTheme="minorEastAsia" w:hAnsiTheme="minorEastAsia"/>
          <w:sz w:val="24"/>
        </w:rPr>
        <w:t xml:space="preserve">，温度控制在 </w:t>
      </w:r>
      <w:r>
        <w:rPr>
          <w:rFonts w:cs="Calibri" w:asciiTheme="minorEastAsia" w:hAnsiTheme="minorEastAsia"/>
          <w:sz w:val="24"/>
        </w:rPr>
        <w:t>15 - 25</w:t>
      </w:r>
      <w:r>
        <w:rPr>
          <w:rFonts w:asciiTheme="minorEastAsia" w:hAnsiTheme="minorEastAsia"/>
          <w:sz w:val="24"/>
        </w:rPr>
        <w:t xml:space="preserve">℃。当温湿度超出设定阈值时，系统自动启动除湿或通风设备，调节仓库内的温湿度。当湿度超标时，自动启动除湿机，降低仓库内的湿度；当温度过高时，自动开启通风设备，引入外界冷空气，降低仓库内的温度，为货物存储创造适宜的环境条件，有效抑制虫害的滋生 。 </w:t>
      </w:r>
      <w:r>
        <w:rPr>
          <w:rFonts w:hint="eastAsia" w:ascii="MS Mincho" w:hAnsi="MS Mincho" w:eastAsia="MS Mincho" w:cs="MS Mincho"/>
          <w:sz w:val="24"/>
        </w:rPr>
        <w:t>​</w:t>
      </w:r>
    </w:p>
    <w:p w14:paraId="42488465">
      <w:pPr>
        <w:pStyle w:val="4"/>
        <w:spacing w:before="0" w:after="0" w:line="300" w:lineRule="auto"/>
        <w:ind w:firstLine="560" w:firstLineChars="200"/>
        <w:rPr>
          <w:rFonts w:ascii="MS Mincho" w:hAnsi="MS Mincho" w:cs="MS Mincho"/>
          <w:b w:val="0"/>
          <w:sz w:val="28"/>
          <w:szCs w:val="28"/>
        </w:rPr>
      </w:pPr>
      <w:bookmarkStart w:id="40" w:name="_Toc197201590"/>
      <w:r>
        <w:rPr>
          <w:rFonts w:ascii="黑体" w:hAnsi="黑体" w:eastAsia="黑体"/>
          <w:b w:val="0"/>
          <w:sz w:val="28"/>
          <w:szCs w:val="28"/>
        </w:rPr>
        <w:t>4.3.2 分层级人员培训体系</w:t>
      </w:r>
      <w:r>
        <w:rPr>
          <w:rFonts w:hint="eastAsia" w:ascii="MS Mincho" w:hAnsi="MS Mincho" w:eastAsia="MS Mincho" w:cs="MS Mincho"/>
          <w:b w:val="0"/>
          <w:sz w:val="28"/>
          <w:szCs w:val="28"/>
        </w:rPr>
        <w:t>​</w:t>
      </w:r>
      <w:bookmarkEnd w:id="40"/>
    </w:p>
    <w:p w14:paraId="6C2C1F4E">
      <w:pPr>
        <w:spacing w:line="300" w:lineRule="auto"/>
        <w:ind w:firstLine="480" w:firstLineChars="200"/>
        <w:rPr>
          <w:rFonts w:asciiTheme="minorEastAsia" w:hAnsiTheme="minorEastAsia"/>
          <w:sz w:val="24"/>
        </w:rPr>
      </w:pPr>
      <w:r>
        <w:rPr>
          <w:rFonts w:asciiTheme="minorEastAsia" w:hAnsiTheme="minorEastAsia"/>
          <w:sz w:val="24"/>
        </w:rPr>
        <w:t>基础培训：对于新员工，开展基础的虫害防治培训，使其掌握常见虫害的识别方法。通过图片、视频和实物展示等方式，让新员工了解米象、谷蠹、衣鱼、书虱、蟑螂、老鼠等常见害虫的形态特征、生活习性和危害特点。培训新员工正确操作消杀设备，如喷雾器、烟雾发生器等，使其掌握设备的使用方法、药剂配比和安全注意事项。新员工还需学习卫生管理要求，了解仓库卫生清洁的重要性和具体操作流程，明白如何保持仓库的清洁卫生，减少虫害滋生的环境。</w:t>
      </w:r>
      <w:r>
        <w:rPr>
          <w:rFonts w:hint="eastAsia" w:ascii="MS Mincho" w:hAnsi="MS Mincho" w:eastAsia="MS Mincho" w:cs="MS Mincho"/>
          <w:sz w:val="24"/>
        </w:rPr>
        <w:t>​</w:t>
      </w:r>
    </w:p>
    <w:p w14:paraId="24A02401">
      <w:pPr>
        <w:spacing w:line="300" w:lineRule="auto"/>
        <w:ind w:firstLine="480" w:firstLineChars="200"/>
        <w:rPr>
          <w:rFonts w:asciiTheme="minorEastAsia" w:hAnsiTheme="minorEastAsia"/>
          <w:sz w:val="24"/>
        </w:rPr>
      </w:pPr>
      <w:r>
        <w:rPr>
          <w:rFonts w:asciiTheme="minorEastAsia" w:hAnsiTheme="minorEastAsia"/>
          <w:sz w:val="24"/>
        </w:rPr>
        <w:t>进阶培训：针对仓储管理人员，开展进阶培训课程，提升其虫害风险评估能力。通过案例分析、模拟演练等方式，让管理人员学会如何根据仓库的环境条件、货物存储情况和虫害监测数据，对虫害风险进行准确评估，确定虫害发生的可能性和危害程度。培训管理人员制定应急预案，使其掌握在虫害爆发时应采取的紧急措施，如如何组织人员进行消杀、如何隔离受虫害影响的货物、如何协调各部门之间的工作等。通过角色扮演和实地演练，让管理人员熟悉应急预案的执行流程，提高其应对突发事件的能力。</w:t>
      </w:r>
      <w:r>
        <w:rPr>
          <w:rFonts w:hint="eastAsia" w:ascii="MS Mincho" w:hAnsi="MS Mincho" w:eastAsia="MS Mincho" w:cs="MS Mincho"/>
          <w:sz w:val="24"/>
        </w:rPr>
        <w:t>​</w:t>
      </w:r>
    </w:p>
    <w:p w14:paraId="6D9A9AAC">
      <w:pPr>
        <w:spacing w:line="300" w:lineRule="auto"/>
        <w:ind w:firstLine="480" w:firstLineChars="200"/>
        <w:rPr>
          <w:rFonts w:ascii="MS Mincho" w:hAnsi="MS Mincho" w:cs="MS Mincho"/>
          <w:sz w:val="24"/>
        </w:rPr>
      </w:pPr>
      <w:r>
        <w:rPr>
          <w:rFonts w:asciiTheme="minorEastAsia" w:hAnsiTheme="minorEastAsia"/>
          <w:sz w:val="24"/>
        </w:rPr>
        <w:t xml:space="preserve">考核机制：建立定期的防治技能比武机制，组织员工进行虫害防治知识和技能的竞赛。竞赛内容包括虫害识别、消杀设备操作、卫生管理实践等方面，通过竞赛激发员工学习和掌握虫害防治知识和技能的积极性。将虫害发生率纳入员工 </w:t>
      </w:r>
      <w:r>
        <w:rPr>
          <w:rFonts w:cs="Calibri" w:asciiTheme="minorEastAsia" w:hAnsiTheme="minorEastAsia"/>
          <w:sz w:val="24"/>
        </w:rPr>
        <w:t xml:space="preserve">KPI </w:t>
      </w:r>
      <w:r>
        <w:rPr>
          <w:rFonts w:asciiTheme="minorEastAsia" w:hAnsiTheme="minorEastAsia"/>
          <w:sz w:val="24"/>
        </w:rPr>
        <w:t>考核指标体系，明确规定每个员工在虫害防治工作中的责任和目标，根据虫害发生率的高低对员工进行考核和奖惩。对于虫害防治工作表现优秀的员工，给予表彰和奖励；对于工作不力，导致虫害发生率过高的员工，进行批评和处罚，激励员工主动参与虫害防治工作，提高虫害防治的效果 。</w:t>
      </w:r>
      <w:r>
        <w:rPr>
          <w:rFonts w:hint="eastAsia" w:ascii="MS Mincho" w:hAnsi="MS Mincho" w:eastAsia="MS Mincho" w:cs="MS Mincho"/>
          <w:sz w:val="24"/>
        </w:rPr>
        <w:t>​</w:t>
      </w:r>
    </w:p>
    <w:p w14:paraId="251551AA">
      <w:pPr>
        <w:pStyle w:val="3"/>
        <w:spacing w:line="300" w:lineRule="auto"/>
        <w:ind w:firstLine="560" w:firstLineChars="200"/>
        <w:rPr>
          <w:rFonts w:ascii="MS Mincho" w:hAnsi="MS Mincho" w:cs="MS Mincho" w:eastAsiaTheme="minorEastAsia"/>
          <w:b w:val="0"/>
        </w:rPr>
      </w:pPr>
      <w:bookmarkStart w:id="41" w:name="_Toc197201591"/>
      <w:r>
        <w:rPr>
          <w:rFonts w:ascii="黑体" w:hAnsi="黑体" w:eastAsia="黑体"/>
          <w:b w:val="0"/>
        </w:rPr>
        <w:t>4.4 完善管理机制与应急响应</w:t>
      </w:r>
      <w:r>
        <w:rPr>
          <w:rFonts w:hint="eastAsia" w:ascii="MS Mincho" w:hAnsi="MS Mincho" w:eastAsia="MS Mincho" w:cs="MS Mincho"/>
          <w:b w:val="0"/>
        </w:rPr>
        <w:t>​</w:t>
      </w:r>
      <w:bookmarkEnd w:id="41"/>
    </w:p>
    <w:p w14:paraId="44C52FC6">
      <w:pPr>
        <w:pStyle w:val="4"/>
        <w:spacing w:before="0" w:after="0" w:line="300" w:lineRule="auto"/>
        <w:ind w:firstLine="560" w:firstLineChars="200"/>
        <w:rPr>
          <w:rFonts w:ascii="MS Mincho" w:hAnsi="MS Mincho" w:cs="MS Mincho"/>
          <w:b w:val="0"/>
          <w:sz w:val="28"/>
          <w:szCs w:val="28"/>
        </w:rPr>
      </w:pPr>
      <w:bookmarkStart w:id="42" w:name="_Toc197201592"/>
      <w:r>
        <w:rPr>
          <w:rFonts w:ascii="黑体" w:hAnsi="黑体" w:eastAsia="黑体"/>
          <w:b w:val="0"/>
          <w:sz w:val="28"/>
          <w:szCs w:val="28"/>
        </w:rPr>
        <w:t>4.4.1 跨部门协同与责任划分</w:t>
      </w:r>
      <w:r>
        <w:rPr>
          <w:rFonts w:hint="eastAsia" w:ascii="MS Mincho" w:hAnsi="MS Mincho" w:eastAsia="MS Mincho" w:cs="MS Mincho"/>
          <w:b w:val="0"/>
          <w:sz w:val="28"/>
          <w:szCs w:val="28"/>
        </w:rPr>
        <w:t>​</w:t>
      </w:r>
      <w:bookmarkEnd w:id="42"/>
    </w:p>
    <w:p w14:paraId="2CA346B8">
      <w:pPr>
        <w:spacing w:line="300" w:lineRule="auto"/>
        <w:ind w:firstLine="480" w:firstLineChars="200"/>
        <w:rPr>
          <w:rFonts w:asciiTheme="minorEastAsia" w:hAnsiTheme="minorEastAsia"/>
          <w:sz w:val="24"/>
        </w:rPr>
      </w:pPr>
      <w:r>
        <w:rPr>
          <w:rFonts w:asciiTheme="minorEastAsia" w:hAnsiTheme="minorEastAsia"/>
          <w:sz w:val="24"/>
        </w:rPr>
        <w:t>成立虫害防治专项小组，由仓储、物流、质检、技术等部门的专业人员组成，明确各部门在虫害防治工作中的职责。仓储部门负责仓库内部环境的日常管理和维护，确保仓库的清洁卫生，及时发现和处理仓库内的虫害问题；物流部门负责货物运输过程中的虫害防控，对运输车辆和包装进行检查和消杀，防止外来虫害入侵；质检部门负责对入库货物进行严格的虫害检测，确保货物无虫害隐患；技术部门负责开发和维护虫害监测系统，提供技术支持，保障监测系统的正常运行。</w:t>
      </w:r>
    </w:p>
    <w:p w14:paraId="7437D598">
      <w:pPr>
        <w:spacing w:line="300" w:lineRule="auto"/>
        <w:ind w:firstLine="480" w:firstLineChars="200"/>
        <w:rPr>
          <w:rFonts w:asciiTheme="minorEastAsia" w:hAnsiTheme="minorEastAsia"/>
          <w:sz w:val="24"/>
        </w:rPr>
      </w:pPr>
      <w:r>
        <w:rPr>
          <w:rFonts w:hint="eastAsia" w:ascii="MS Mincho" w:hAnsi="MS Mincho" w:eastAsia="MS Mincho" w:cs="MS Mincho"/>
          <w:sz w:val="24"/>
        </w:rPr>
        <w:t>​</w:t>
      </w:r>
      <w:r>
        <w:rPr>
          <w:rFonts w:hint="eastAsia" w:ascii="MS Mincho" w:hAnsi="MS Mincho" w:cs="MS Mincho"/>
          <w:sz w:val="24"/>
        </w:rPr>
        <w:t xml:space="preserve"> </w:t>
      </w:r>
      <w:r>
        <w:rPr>
          <w:rFonts w:ascii="MS Mincho" w:hAnsi="MS Mincho" w:cs="MS Mincho"/>
          <w:sz w:val="24"/>
        </w:rPr>
        <w:t xml:space="preserve"> </w:t>
      </w:r>
      <w:r>
        <w:rPr>
          <w:rFonts w:asciiTheme="minorEastAsia" w:hAnsiTheme="minorEastAsia"/>
          <w:sz w:val="24"/>
        </w:rPr>
        <w:t>建立周度联席会议制度，每周定期召开虫害防治专项会议，各部门在会议上共享监测数据和问题整改进度。仓储部门汇报仓库内的虫害发生情况和防治措施的实施效果；物流部门汇报货物运输过程中的虫害防控情况和发现的问题；质检部门汇报入库货物的虫害检测结果；技术部门汇报监测系统的运行情况和数据分析结果。通过联席会议，及时沟通信息，协调各部门之间的工作，共同解决虫害防治工作中遇到的问题，形成有效的跨部门协同合作机制 。</w:t>
      </w:r>
    </w:p>
    <w:p w14:paraId="7B674CA7">
      <w:pPr>
        <w:pStyle w:val="4"/>
        <w:spacing w:before="0" w:after="0" w:line="300" w:lineRule="auto"/>
        <w:ind w:firstLine="560" w:firstLineChars="200"/>
        <w:rPr>
          <w:rFonts w:ascii="MS Mincho" w:hAnsi="MS Mincho" w:cs="MS Mincho"/>
          <w:b w:val="0"/>
          <w:sz w:val="28"/>
          <w:szCs w:val="28"/>
        </w:rPr>
      </w:pPr>
      <w:bookmarkStart w:id="43" w:name="_Toc197201593"/>
      <w:r>
        <w:rPr>
          <w:rFonts w:ascii="黑体" w:hAnsi="黑体" w:eastAsia="黑体"/>
          <w:b w:val="0"/>
          <w:sz w:val="28"/>
          <w:szCs w:val="28"/>
        </w:rPr>
        <w:t>4.4.2 动态评估与应急预案优化</w:t>
      </w:r>
      <w:r>
        <w:rPr>
          <w:rFonts w:hint="eastAsia" w:ascii="MS Mincho" w:hAnsi="MS Mincho" w:eastAsia="MS Mincho" w:cs="MS Mincho"/>
          <w:b w:val="0"/>
          <w:sz w:val="28"/>
          <w:szCs w:val="28"/>
        </w:rPr>
        <w:t>​</w:t>
      </w:r>
      <w:bookmarkEnd w:id="43"/>
    </w:p>
    <w:p w14:paraId="280ED2F6">
      <w:pPr>
        <w:spacing w:line="300" w:lineRule="auto"/>
        <w:ind w:firstLine="480" w:firstLineChars="200"/>
        <w:rPr>
          <w:rFonts w:asciiTheme="minorEastAsia" w:hAnsiTheme="minorEastAsia"/>
          <w:sz w:val="24"/>
        </w:rPr>
      </w:pPr>
      <w:r>
        <w:rPr>
          <w:rFonts w:asciiTheme="minorEastAsia" w:hAnsiTheme="minorEastAsia"/>
          <w:sz w:val="24"/>
        </w:rPr>
        <w:t>建立《虫害防治效果评估手册》：制定科学合理的量化评估指标，全面衡量虫害防治的效果。虫害发生率是一个关键指标，通过统计仓库内受虫害影响的货物数量与总货物数量的比例，计算虫害发生率，将其控制在≤</w:t>
      </w:r>
      <w:r>
        <w:rPr>
          <w:rFonts w:cs="Calibri" w:asciiTheme="minorEastAsia" w:hAnsiTheme="minorEastAsia"/>
          <w:sz w:val="24"/>
        </w:rPr>
        <w:t xml:space="preserve">0.5% </w:t>
      </w:r>
      <w:r>
        <w:rPr>
          <w:rFonts w:asciiTheme="minorEastAsia" w:hAnsiTheme="minorEastAsia"/>
          <w:sz w:val="24"/>
        </w:rPr>
        <w:t xml:space="preserve">以内，以确保虫害得到有效控制。响应时效也是重要指标之一，要求在接到预警后 </w:t>
      </w:r>
      <w:r>
        <w:rPr>
          <w:rFonts w:cs="Calibri" w:asciiTheme="minorEastAsia" w:hAnsiTheme="minorEastAsia"/>
          <w:sz w:val="24"/>
        </w:rPr>
        <w:t xml:space="preserve">2 </w:t>
      </w:r>
      <w:r>
        <w:rPr>
          <w:rFonts w:asciiTheme="minorEastAsia" w:hAnsiTheme="minorEastAsia"/>
          <w:sz w:val="24"/>
        </w:rPr>
        <w:t xml:space="preserve">小时内迅速采取处置措施，及时遏制虫害的扩散。药剂残留检测合格率必须达到 </w:t>
      </w:r>
      <w:r>
        <w:rPr>
          <w:rFonts w:cs="Calibri" w:asciiTheme="minorEastAsia" w:hAnsiTheme="minorEastAsia"/>
          <w:sz w:val="24"/>
        </w:rPr>
        <w:t>100%</w:t>
      </w:r>
      <w:r>
        <w:rPr>
          <w:rFonts w:asciiTheme="minorEastAsia" w:hAnsiTheme="minorEastAsia"/>
          <w:sz w:val="24"/>
        </w:rPr>
        <w:t>，定期对仓库内的货物和环境进行药剂残留检测，确保药剂使用符合安全标准，避免对货物和人员造成危害。通过这些量化指标，定期对虫害防治效果进行评估，及时发现问题并进行改进。</w:t>
      </w:r>
      <w:r>
        <w:rPr>
          <w:rFonts w:hint="eastAsia" w:ascii="MS Mincho" w:hAnsi="MS Mincho" w:eastAsia="MS Mincho" w:cs="MS Mincho"/>
          <w:sz w:val="24"/>
        </w:rPr>
        <w:t>​</w:t>
      </w:r>
    </w:p>
    <w:p w14:paraId="0F89BE0F">
      <w:pPr>
        <w:spacing w:line="300" w:lineRule="auto"/>
        <w:ind w:firstLine="480" w:firstLineChars="200"/>
        <w:rPr>
          <w:rFonts w:asciiTheme="minorEastAsia" w:hAnsiTheme="minorEastAsia"/>
          <w:sz w:val="24"/>
        </w:rPr>
      </w:pPr>
      <w:r>
        <w:rPr>
          <w:rFonts w:asciiTheme="minorEastAsia" w:hAnsiTheme="minorEastAsia"/>
          <w:sz w:val="24"/>
        </w:rPr>
        <w:t>制定分级应急方案：根据虫害的严重程度，制定分级应急方案，确保在不同情况下都能迅速、有效地应对虫害问题。当出现轻度虫害时，立即启动区域消杀措施，对受虫害影响的区域进行针对性的消杀，使用合适的防治药剂和设备，彻底杀灭害虫，防止虫害扩散。当中度虫害发生时，实施货物隔离与追溯措施，将受虫害影响的货物进行隔离存放，防止虫害传播到其他货物上。对虫害来源进行追溯，查明虫害是如何进入仓库的，以便采取相应的措施进行防范。当发生重度虫害时，触发全仓排查机制，对整个仓库进行全面、细致的排查，确保没有遗漏任何虫害隐患。及时上报供应链上下游协同防控，与供应商、物流合作伙伴等进行沟通协作，共同制定防控措施，防止虫害在供应链中传播，保障整个供应链的安全稳定。</w:t>
      </w:r>
    </w:p>
    <w:p w14:paraId="79523A8E">
      <w:pPr>
        <w:spacing w:line="300" w:lineRule="auto"/>
        <w:ind w:firstLine="480" w:firstLineChars="200"/>
      </w:pPr>
      <w:r>
        <w:rPr>
          <w:rFonts w:asciiTheme="minorEastAsia" w:hAnsiTheme="minorEastAsia"/>
          <w:sz w:val="24"/>
        </w:rPr>
        <w:br w:type="page"/>
      </w:r>
    </w:p>
    <w:p w14:paraId="032C4FBC">
      <w:pPr>
        <w:pStyle w:val="2"/>
        <w:spacing w:before="0" w:after="0" w:line="300" w:lineRule="auto"/>
        <w:ind w:firstLine="600" w:firstLineChars="200"/>
        <w:jc w:val="center"/>
        <w:rPr>
          <w:rFonts w:ascii="黑体" w:hAnsi="黑体" w:eastAsia="黑体"/>
          <w:b w:val="0"/>
          <w:sz w:val="30"/>
          <w:szCs w:val="30"/>
        </w:rPr>
      </w:pPr>
      <w:bookmarkStart w:id="44" w:name="_Toc197201594"/>
      <w:r>
        <w:rPr>
          <w:rFonts w:ascii="黑体" w:hAnsi="黑体" w:eastAsia="黑体"/>
          <w:b w:val="0"/>
          <w:sz w:val="30"/>
          <w:szCs w:val="30"/>
        </w:rPr>
        <w:t>第五章 结论与展望</w:t>
      </w:r>
      <w:bookmarkEnd w:id="44"/>
    </w:p>
    <w:p w14:paraId="14E9B905">
      <w:pPr>
        <w:pStyle w:val="3"/>
        <w:spacing w:line="300" w:lineRule="auto"/>
        <w:ind w:firstLine="560" w:firstLineChars="200"/>
        <w:rPr>
          <w:rFonts w:ascii="黑体" w:hAnsi="黑体" w:eastAsia="黑体" w:cs="MS Mincho"/>
          <w:b w:val="0"/>
        </w:rPr>
      </w:pPr>
      <w:bookmarkStart w:id="45" w:name="_Toc197201595"/>
      <w:r>
        <w:rPr>
          <w:rFonts w:ascii="黑体" w:hAnsi="黑体" w:eastAsia="黑体"/>
          <w:b w:val="0"/>
        </w:rPr>
        <w:t>5.1 研究结论</w:t>
      </w:r>
      <w:r>
        <w:rPr>
          <w:rFonts w:hint="eastAsia" w:ascii="MS Mincho" w:hAnsi="MS Mincho" w:eastAsia="MS Mincho" w:cs="MS Mincho"/>
          <w:b w:val="0"/>
        </w:rPr>
        <w:t>​</w:t>
      </w:r>
      <w:bookmarkEnd w:id="45"/>
    </w:p>
    <w:p w14:paraId="12BDD656">
      <w:pPr>
        <w:spacing w:line="300" w:lineRule="auto"/>
        <w:ind w:firstLine="480" w:firstLineChars="200"/>
        <w:rPr>
          <w:rFonts w:asciiTheme="minorEastAsia" w:hAnsiTheme="minorEastAsia"/>
          <w:sz w:val="24"/>
        </w:rPr>
      </w:pPr>
      <w:r>
        <w:rPr>
          <w:rFonts w:asciiTheme="minorEastAsia" w:hAnsiTheme="minorEastAsia"/>
          <w:sz w:val="24"/>
        </w:rPr>
        <w:t>本研究聚焦京东仓库虫害防治这一关键领域，通过深入调研与系统分析，揭示了其在虫害防治方面存在的多维度问题，并提出了针对性的优化策略。</w:t>
      </w:r>
      <w:r>
        <w:rPr>
          <w:rFonts w:hint="eastAsia" w:ascii="MS Mincho" w:hAnsi="MS Mincho" w:eastAsia="MS Mincho" w:cs="MS Mincho"/>
          <w:sz w:val="24"/>
        </w:rPr>
        <w:t>​</w:t>
      </w:r>
    </w:p>
    <w:p w14:paraId="33F33D86">
      <w:pPr>
        <w:spacing w:line="300" w:lineRule="auto"/>
        <w:ind w:firstLine="480" w:firstLineChars="200"/>
        <w:rPr>
          <w:rFonts w:asciiTheme="minorEastAsia" w:hAnsiTheme="minorEastAsia"/>
          <w:sz w:val="24"/>
        </w:rPr>
      </w:pPr>
      <w:r>
        <w:rPr>
          <w:rFonts w:asciiTheme="minorEastAsia" w:hAnsiTheme="minorEastAsia"/>
          <w:sz w:val="24"/>
        </w:rPr>
        <w:t>在虫害防治问题剖析上，发现多品类存储致使虫害谱多元化，不同货区虫害类型差异显著，而现有防治方案针对性不足，采用 “一刀切” 方式难以有效应对复杂虫害；货物高频次出入库背景下，外来虫害入侵风险管控薄弱，人工检疫效率低且与合作方协同不足；部分传统仓库智能监测系统覆盖不足，依赖人工巡检存在诸多弊端，绿色防控技术应用有限，过度依赖化学药剂导致抗药性和污染问题；仓储环境管理存在温湿度控制与卫生死角治理不足，员工防治意识与技能参差不齐，新入职人员培训缺失；管理体系不完善，跨部门协作机制缺失，防治效果评估与迭代滞后，缺乏量化指标和动态优化机制。</w:t>
      </w:r>
      <w:r>
        <w:rPr>
          <w:rFonts w:hint="eastAsia" w:ascii="MS Mincho" w:hAnsi="MS Mincho" w:eastAsia="MS Mincho" w:cs="MS Mincho"/>
          <w:sz w:val="24"/>
        </w:rPr>
        <w:t>​</w:t>
      </w:r>
    </w:p>
    <w:p w14:paraId="65A82A2A">
      <w:pPr>
        <w:spacing w:line="300" w:lineRule="auto"/>
        <w:ind w:firstLine="480" w:firstLineChars="200"/>
        <w:rPr>
          <w:rFonts w:asciiTheme="minorEastAsia" w:hAnsiTheme="minorEastAsia"/>
          <w:sz w:val="24"/>
        </w:rPr>
      </w:pPr>
      <w:r>
        <w:rPr>
          <w:rFonts w:asciiTheme="minorEastAsia" w:hAnsiTheme="minorEastAsia"/>
          <w:sz w:val="24"/>
        </w:rPr>
        <w:t>基于上述问题，本研究提出了一系列优化措施。构建差异化分类防控体系，细分货区制定针对性方案，如食品仓采用“源头检疫 + 气调包装 + 生物防治” 模式，同时建立外来虫害入侵阻断策略；升级智能化监测与绿色防控技术，建设全仓智能监测网络，实现 “监测 - 预警 - 处置” 闭环管理，多元化应用绿色防控技术，涵盖物理、生物和优化化学防治等；强化环境管理与人员能力建设，制定精细化环境管控措施，建立分层级人员培训体系与考核机制；完善管理机制与应急响应，明确跨部门协同与责任划分，建立周度联席会议制度，动态评估与优化应急预案，制定分级应急方案。</w:t>
      </w:r>
      <w:r>
        <w:rPr>
          <w:rFonts w:hint="eastAsia" w:ascii="MS Mincho" w:hAnsi="MS Mincho" w:eastAsia="MS Mincho" w:cs="MS Mincho"/>
          <w:sz w:val="24"/>
        </w:rPr>
        <w:t>​</w:t>
      </w:r>
    </w:p>
    <w:p w14:paraId="169211C0">
      <w:pPr>
        <w:spacing w:line="300" w:lineRule="auto"/>
        <w:ind w:firstLine="480" w:firstLineChars="200"/>
        <w:jc w:val="left"/>
        <w:rPr>
          <w:rFonts w:ascii="MS Mincho" w:hAnsi="MS Mincho" w:cs="MS Mincho"/>
          <w:sz w:val="24"/>
        </w:rPr>
      </w:pPr>
      <w:r>
        <w:rPr>
          <w:rFonts w:hint="eastAsia" w:asciiTheme="minorEastAsia" w:hAnsiTheme="minorEastAsia"/>
          <w:sz w:val="24"/>
        </w:rPr>
        <w:t xml:space="preserve"> </w:t>
      </w:r>
      <w:r>
        <w:rPr>
          <w:rFonts w:asciiTheme="minorEastAsia" w:hAnsiTheme="minorEastAsia"/>
          <w:sz w:val="24"/>
        </w:rPr>
        <w:t xml:space="preserve"> 本研究成果为京东仓库虫害防治提供了全面、系统且具实操性的优化路径，有助于提升京东仓库虫害防治水平，降低运营风险，保障货物安全，同时为电商仓储行业的虫害防治提供了有益的借鉴和参考 。</w:t>
      </w:r>
      <w:r>
        <w:rPr>
          <w:rFonts w:hint="eastAsia" w:ascii="MS Mincho" w:hAnsi="MS Mincho" w:eastAsia="MS Mincho" w:cs="MS Mincho"/>
          <w:sz w:val="24"/>
        </w:rPr>
        <w:t>​</w:t>
      </w:r>
    </w:p>
    <w:p w14:paraId="0851F455">
      <w:pPr>
        <w:pStyle w:val="3"/>
        <w:spacing w:line="300" w:lineRule="auto"/>
        <w:ind w:firstLine="560" w:firstLineChars="200"/>
        <w:rPr>
          <w:rFonts w:ascii="MS Mincho" w:hAnsi="MS Mincho" w:cs="MS Mincho" w:eastAsiaTheme="minorEastAsia"/>
          <w:b w:val="0"/>
        </w:rPr>
      </w:pPr>
      <w:bookmarkStart w:id="46" w:name="_Toc197201596"/>
      <w:r>
        <w:rPr>
          <w:rFonts w:ascii="黑体" w:hAnsi="黑体" w:eastAsia="黑体"/>
          <w:b w:val="0"/>
        </w:rPr>
        <w:t>5.2 未来展望</w:t>
      </w:r>
      <w:r>
        <w:rPr>
          <w:rFonts w:hint="eastAsia" w:ascii="MS Mincho" w:hAnsi="MS Mincho" w:eastAsia="MS Mincho" w:cs="MS Mincho"/>
          <w:b w:val="0"/>
        </w:rPr>
        <w:t>​</w:t>
      </w:r>
      <w:bookmarkEnd w:id="46"/>
    </w:p>
    <w:p w14:paraId="698F8473">
      <w:pPr>
        <w:spacing w:line="300" w:lineRule="auto"/>
        <w:ind w:firstLine="480" w:firstLineChars="200"/>
        <w:rPr>
          <w:rFonts w:asciiTheme="minorEastAsia" w:hAnsiTheme="minorEastAsia"/>
          <w:sz w:val="24"/>
        </w:rPr>
      </w:pPr>
      <w:r>
        <w:rPr>
          <w:rFonts w:asciiTheme="minorEastAsia" w:hAnsiTheme="minorEastAsia"/>
          <w:sz w:val="24"/>
        </w:rPr>
        <w:t>展望未来，京东仓库虫害防治可在多个前沿方向深入探索，以实现更高水平的智慧化与绿色化防控。在技术创新领域，可进一步探索区块链技术在虫害溯源中的应用。通过区块链的去中心化、不可篡改等特性，构建从供应商到仓库再到消费者的全链条虫害信息追溯体系。一旦发生虫害问题，能够迅速精准定位虫害源头，如确定受虫害影响的货物批次、运输环节以及最初的感染地点，从而采取针对性措施，切断虫害传播路径，同时为责任追溯和问题解决提供有力依据。</w:t>
      </w:r>
      <w:r>
        <w:rPr>
          <w:rFonts w:hint="eastAsia" w:ascii="MS Mincho" w:hAnsi="MS Mincho" w:eastAsia="MS Mincho" w:cs="MS Mincho"/>
          <w:sz w:val="24"/>
        </w:rPr>
        <w:t>​</w:t>
      </w:r>
      <w:r>
        <w:rPr>
          <w:rFonts w:cs="Arial" w:asciiTheme="minorEastAsia" w:hAnsiTheme="minorEastAsia"/>
          <w:sz w:val="24"/>
        </w:rPr>
        <w:t xml:space="preserve"> </w:t>
      </w:r>
      <w:r>
        <w:rPr>
          <w:rFonts w:asciiTheme="minorEastAsia" w:hAnsiTheme="minorEastAsia"/>
          <w:sz w:val="24"/>
        </w:rPr>
        <w:t>结合京东物流大数据，深入挖掘其在虫害预测方面的潜力。利用大数据分析货物的运输轨迹、仓储时间、仓储地点以及不同地区的气候数据等信息，精准预测虫害高发区域与季节。例如，通过分析历史数据发现，在某些特定季节和地区，由于气候条件适宜，某种害虫的发生率较高，那么在未来相应时间段，可提前在这些区域加强监测和防控措施，实现从“被动应对”向“主动预防”的转变。</w:t>
      </w:r>
    </w:p>
    <w:p w14:paraId="509EB42F">
      <w:pPr>
        <w:spacing w:line="300" w:lineRule="auto"/>
        <w:ind w:firstLine="480" w:firstLineChars="200"/>
        <w:rPr>
          <w:rFonts w:asciiTheme="minorEastAsia" w:hAnsiTheme="minorEastAsia"/>
          <w:sz w:val="24"/>
        </w:rPr>
      </w:pPr>
      <w:r>
        <w:rPr>
          <w:rFonts w:asciiTheme="minorEastAsia" w:hAnsiTheme="minorEastAsia"/>
          <w:sz w:val="24"/>
        </w:rPr>
        <w:t>随着人工智能技术的不断发展，可将更先进的机器学习算法应用于虫害监测数据的分析，提高虫害预测的准确性和时效性。研发更智能的虫害防治设备，实现自动化、精准化的防治操作，进一步提高防治效率，降低人力成本。在绿色防控方面，持续加大对生物防治和物理防治技术的研发与应用投入，减少化学药剂的使用，降低对环境的影响，助力构建更安全、高效、绿色的智慧仓储体系，为京东电商业务的可持续发展提供坚实保障 。</w:t>
      </w:r>
    </w:p>
    <w:p w14:paraId="3BA63AB1">
      <w:pPr>
        <w:widowControl/>
        <w:spacing w:line="300" w:lineRule="auto"/>
        <w:ind w:firstLine="480" w:firstLineChars="200"/>
        <w:jc w:val="left"/>
        <w:rPr>
          <w:rFonts w:asciiTheme="minorEastAsia" w:hAnsiTheme="minorEastAsia"/>
          <w:sz w:val="24"/>
        </w:rPr>
      </w:pPr>
      <w:r>
        <w:rPr>
          <w:rFonts w:asciiTheme="minorEastAsia" w:hAnsiTheme="minorEastAsia"/>
          <w:sz w:val="24"/>
        </w:rPr>
        <w:br w:type="page"/>
      </w:r>
    </w:p>
    <w:p w14:paraId="22D902D7">
      <w:pPr>
        <w:pStyle w:val="2"/>
        <w:spacing w:before="0" w:after="0" w:line="300" w:lineRule="auto"/>
        <w:ind w:firstLine="600" w:firstLineChars="200"/>
        <w:jc w:val="center"/>
        <w:rPr>
          <w:b w:val="0"/>
        </w:rPr>
      </w:pPr>
      <w:bookmarkStart w:id="47" w:name="_Toc197201597"/>
      <w:r>
        <w:rPr>
          <w:rFonts w:ascii="黑体" w:hAnsi="黑体" w:eastAsia="黑体" w:cs="黑体"/>
          <w:b w:val="0"/>
          <w:sz w:val="30"/>
        </w:rPr>
        <w:t>致 谢</w:t>
      </w:r>
      <w:bookmarkEnd w:id="47"/>
    </w:p>
    <w:p w14:paraId="464366E2">
      <w:pPr>
        <w:spacing w:line="300" w:lineRule="auto"/>
        <w:ind w:firstLine="480" w:firstLineChars="200"/>
        <w:jc w:val="left"/>
        <w:rPr>
          <w:rFonts w:asciiTheme="minorEastAsia" w:hAnsiTheme="minorEastAsia"/>
          <w:sz w:val="24"/>
        </w:rPr>
      </w:pPr>
      <w:r>
        <w:rPr>
          <w:rFonts w:asciiTheme="minorEastAsia" w:hAnsiTheme="minorEastAsia"/>
          <w:sz w:val="24"/>
        </w:rPr>
        <w:t>在本研究的完成过程中，诸多师长、同仁与亲友的支持与帮助让我得以攻坚克难，在此致以最诚挚的感谢！</w:t>
      </w:r>
    </w:p>
    <w:p w14:paraId="2EA7C454">
      <w:pPr>
        <w:spacing w:line="300" w:lineRule="auto"/>
        <w:ind w:firstLine="480" w:firstLineChars="200"/>
        <w:jc w:val="left"/>
        <w:rPr>
          <w:rFonts w:asciiTheme="minorEastAsia" w:hAnsiTheme="minorEastAsia"/>
          <w:sz w:val="24"/>
        </w:rPr>
      </w:pPr>
      <w:r>
        <w:rPr>
          <w:rFonts w:asciiTheme="minorEastAsia" w:hAnsiTheme="minorEastAsia"/>
          <w:sz w:val="24"/>
        </w:rPr>
        <w:t>衷心感谢我的导师教授。从选题的确定到方案的论证，从研究框架的搭建到具体内容的完善，导师始终以深厚的学术造诣、严谨的治学态度和敏锐的行业洞察力为我指明方向。尤其在实地调研京东仓储基地时，导师积极协调资源，促成与企业技术专家的深度交流，使研究更贴近物流仓储虫害防治的实际需求。感谢论文评审专家与期刊编辑提出的宝贵意见，使研究内容得以进一步完善。</w:t>
      </w:r>
    </w:p>
    <w:p w14:paraId="4888E6E4">
      <w:pPr>
        <w:spacing w:line="300" w:lineRule="auto"/>
        <w:ind w:firstLine="480" w:firstLineChars="200"/>
        <w:jc w:val="left"/>
        <w:rPr>
          <w:rFonts w:asciiTheme="minorEastAsia" w:hAnsiTheme="minorEastAsia"/>
          <w:sz w:val="24"/>
        </w:rPr>
      </w:pPr>
      <w:r>
        <w:rPr>
          <w:rFonts w:asciiTheme="minorEastAsia" w:hAnsiTheme="minorEastAsia"/>
          <w:sz w:val="24"/>
        </w:rPr>
        <w:t>本研究成果凝聚着众多人的心血，未来我将继续深耕物流仓储领域，以更扎实的研究回报大家的关怀与期待。</w:t>
      </w:r>
    </w:p>
    <w:p w14:paraId="468F7F3B">
      <w:pPr>
        <w:spacing w:line="300" w:lineRule="auto"/>
        <w:ind w:firstLine="480" w:firstLineChars="200"/>
        <w:jc w:val="left"/>
        <w:rPr>
          <w:rFonts w:asciiTheme="minorEastAsia" w:hAnsiTheme="minorEastAsia"/>
          <w:sz w:val="24"/>
        </w:rPr>
      </w:pPr>
      <w:r>
        <w:rPr>
          <w:rFonts w:asciiTheme="minorEastAsia" w:hAnsiTheme="minorEastAsia"/>
          <w:sz w:val="24"/>
        </w:rPr>
        <w:t>以上致谢部分融入了学术指导、企业实践支持及个人情感，体现了研究的多方协作性。若需调整具体人名、案例或情感表达强度，可随时告知我进一步修改。</w:t>
      </w:r>
      <w:r>
        <w:br w:type="page"/>
      </w:r>
    </w:p>
    <w:p w14:paraId="45F00602">
      <w:pPr>
        <w:pStyle w:val="3"/>
        <w:rPr>
          <w:rFonts w:ascii="黑体" w:hAnsi="黑体" w:eastAsia="黑体"/>
          <w:b w:val="0"/>
        </w:rPr>
      </w:pPr>
      <w:bookmarkStart w:id="48" w:name="_Toc197201598"/>
      <w:r>
        <w:rPr>
          <w:rFonts w:ascii="黑体" w:hAnsi="黑体" w:eastAsia="黑体"/>
          <w:b w:val="0"/>
        </w:rPr>
        <w:t>参考文献</w:t>
      </w:r>
      <w:bookmarkEnd w:id="48"/>
    </w:p>
    <w:p w14:paraId="41A4D61E">
      <w:pPr>
        <w:spacing w:after="168" w:line="259" w:lineRule="auto"/>
        <w:ind w:left="415" w:hanging="10"/>
        <w:rPr>
          <w:rFonts w:asciiTheme="minorEastAsia" w:hAnsiTheme="minorEastAsia"/>
          <w:szCs w:val="21"/>
        </w:rPr>
      </w:pPr>
      <w:r>
        <w:rPr>
          <w:rFonts w:asciiTheme="minorEastAsia" w:hAnsiTheme="minorEastAsia"/>
          <w:szCs w:val="21"/>
        </w:rPr>
        <w:t>[1]  杨坤,袁永强. 某物流仓库啮虫防制案例[C]// 中国卫生有害生物防制协会. 2016</w:t>
      </w:r>
    </w:p>
    <w:p w14:paraId="594FF706">
      <w:pPr>
        <w:spacing w:after="168" w:line="259" w:lineRule="auto"/>
        <w:rPr>
          <w:rFonts w:asciiTheme="minorEastAsia" w:hAnsiTheme="minorEastAsia"/>
          <w:szCs w:val="21"/>
        </w:rPr>
      </w:pPr>
      <w:r>
        <w:rPr>
          <w:rFonts w:asciiTheme="minorEastAsia" w:hAnsiTheme="minorEastAsia"/>
          <w:szCs w:val="21"/>
        </w:rPr>
        <w:t>中 国 卫 生 有 害 生 物 防 制 大 会 论 文 编 . 上 海 安 欣 ;, 2016: 71-73.</w:t>
      </w:r>
    </w:p>
    <w:p w14:paraId="3A5238FE">
      <w:pPr>
        <w:spacing w:after="168" w:line="259" w:lineRule="auto"/>
        <w:rPr>
          <w:rFonts w:asciiTheme="minorEastAsia" w:hAnsiTheme="minorEastAsia"/>
          <w:szCs w:val="21"/>
        </w:rPr>
      </w:pPr>
      <w:r>
        <w:rPr>
          <w:rFonts w:asciiTheme="minorEastAsia" w:hAnsiTheme="minorEastAsia"/>
          <w:szCs w:val="21"/>
        </w:rPr>
        <w:t>DOI:10.26914/c.cnkihy.2016.004584.</w:t>
      </w:r>
    </w:p>
    <w:p w14:paraId="63B68E32">
      <w:pPr>
        <w:spacing w:after="168" w:line="259" w:lineRule="auto"/>
        <w:ind w:left="415" w:hanging="10"/>
        <w:rPr>
          <w:rFonts w:asciiTheme="minorEastAsia" w:hAnsiTheme="minorEastAsia"/>
          <w:szCs w:val="21"/>
        </w:rPr>
      </w:pPr>
      <w:r>
        <w:rPr>
          <w:rFonts w:asciiTheme="minorEastAsia" w:hAnsiTheme="minorEastAsia"/>
          <w:szCs w:val="21"/>
        </w:rPr>
        <w:t>[2]  雷建龙,陈贵银. 基于AT89C2051的仓库粮食虫害检测报警系统 [J]. 现代电子技</w:t>
      </w:r>
    </w:p>
    <w:p w14:paraId="69CD62A6">
      <w:pPr>
        <w:spacing w:after="168" w:line="259" w:lineRule="auto"/>
        <w:rPr>
          <w:rFonts w:asciiTheme="minorEastAsia" w:hAnsiTheme="minorEastAsia"/>
          <w:szCs w:val="21"/>
        </w:rPr>
      </w:pPr>
      <w:r>
        <w:rPr>
          <w:rFonts w:asciiTheme="minorEastAsia" w:hAnsiTheme="minorEastAsia"/>
          <w:szCs w:val="21"/>
        </w:rPr>
        <w:t>术, 2002, (03): 4-5.</w:t>
      </w:r>
    </w:p>
    <w:p w14:paraId="7CDA3917">
      <w:pPr>
        <w:spacing w:after="168" w:line="259" w:lineRule="auto"/>
        <w:ind w:left="415" w:hanging="10"/>
        <w:rPr>
          <w:rFonts w:asciiTheme="minorEastAsia" w:hAnsiTheme="minorEastAsia"/>
          <w:szCs w:val="21"/>
        </w:rPr>
      </w:pPr>
      <w:r>
        <w:rPr>
          <w:rFonts w:asciiTheme="minorEastAsia" w:hAnsiTheme="minorEastAsia"/>
          <w:szCs w:val="21"/>
        </w:rPr>
        <w:t>[3]  薛平. 种子仓库简易熏蒸防虫法 [J]. 种子科技, 1994, (01): 40.</w:t>
      </w:r>
    </w:p>
    <w:p w14:paraId="0A380E47">
      <w:pPr>
        <w:spacing w:after="168" w:line="259" w:lineRule="auto"/>
        <w:ind w:left="415" w:hanging="10"/>
        <w:rPr>
          <w:rFonts w:asciiTheme="minorEastAsia" w:hAnsiTheme="minorEastAsia"/>
          <w:szCs w:val="21"/>
        </w:rPr>
      </w:pPr>
      <w:r>
        <w:rPr>
          <w:rFonts w:asciiTheme="minorEastAsia" w:hAnsiTheme="minorEastAsia"/>
          <w:szCs w:val="21"/>
        </w:rPr>
        <w:t>[4]  李岩,王福生,霍振军. 种子仓库简易熏蒸防虫法 [J]. 农业科技通讯,1993,(06):</w:t>
      </w:r>
    </w:p>
    <w:p w14:paraId="015CFF0B">
      <w:pPr>
        <w:spacing w:after="168" w:line="259" w:lineRule="auto"/>
        <w:ind w:left="10" w:hanging="10"/>
        <w:rPr>
          <w:rFonts w:asciiTheme="minorEastAsia" w:hAnsiTheme="minorEastAsia"/>
          <w:szCs w:val="21"/>
        </w:rPr>
      </w:pPr>
      <w:r>
        <w:rPr>
          <w:rFonts w:asciiTheme="minorEastAsia" w:hAnsiTheme="minorEastAsia"/>
          <w:szCs w:val="21"/>
        </w:rPr>
        <w:t>31.</w:t>
      </w:r>
    </w:p>
    <w:p w14:paraId="1B999020">
      <w:pPr>
        <w:spacing w:after="168" w:line="259" w:lineRule="auto"/>
        <w:ind w:left="415" w:hanging="10"/>
        <w:rPr>
          <w:rFonts w:asciiTheme="minorEastAsia" w:hAnsiTheme="minorEastAsia"/>
          <w:szCs w:val="21"/>
        </w:rPr>
      </w:pPr>
      <w:r>
        <w:rPr>
          <w:rFonts w:asciiTheme="minorEastAsia" w:hAnsiTheme="minorEastAsia"/>
          <w:szCs w:val="21"/>
        </w:rPr>
        <w:t>[5]  严文华. 依靠技术协作控制仓库虫害——记重庆市财贸系统仓虫联合治理协作组</w:t>
      </w:r>
    </w:p>
    <w:p w14:paraId="2AA0DC16">
      <w:pPr>
        <w:spacing w:after="168" w:line="259" w:lineRule="auto"/>
        <w:ind w:left="10" w:hanging="10"/>
        <w:rPr>
          <w:rFonts w:asciiTheme="minorEastAsia" w:hAnsiTheme="minorEastAsia"/>
          <w:szCs w:val="21"/>
        </w:rPr>
      </w:pPr>
      <w:r>
        <w:rPr>
          <w:rFonts w:asciiTheme="minorEastAsia" w:hAnsiTheme="minorEastAsia"/>
          <w:szCs w:val="21"/>
        </w:rPr>
        <w:t>[J]. 商业科技, 1985, (09): 15-16.</w:t>
      </w:r>
    </w:p>
    <w:p w14:paraId="74DD7AD8">
      <w:pPr>
        <w:spacing w:after="168" w:line="259" w:lineRule="auto"/>
        <w:ind w:left="415" w:hanging="10"/>
        <w:rPr>
          <w:rFonts w:asciiTheme="minorEastAsia" w:hAnsiTheme="minorEastAsia"/>
          <w:szCs w:val="21"/>
        </w:rPr>
      </w:pPr>
      <w:r>
        <w:rPr>
          <w:rFonts w:asciiTheme="minorEastAsia" w:hAnsiTheme="minorEastAsia"/>
          <w:szCs w:val="21"/>
        </w:rPr>
        <w:t>[6]  高贵公. 乌盟良种仓库实现无虫鼠 [J]. 农业科学实验, 1982, (02): 22-23.</w:t>
      </w:r>
    </w:p>
    <w:p w14:paraId="31E5B473">
      <w:pPr>
        <w:spacing w:after="168" w:line="259" w:lineRule="auto"/>
        <w:ind w:left="10" w:hanging="10"/>
        <w:rPr>
          <w:rFonts w:asciiTheme="minorEastAsia" w:hAnsiTheme="minorEastAsia"/>
          <w:szCs w:val="21"/>
        </w:rPr>
      </w:pPr>
      <w:r>
        <w:rPr>
          <w:rFonts w:asciiTheme="minorEastAsia" w:hAnsiTheme="minorEastAsia"/>
          <w:szCs w:val="21"/>
        </w:rPr>
        <w:t>DOI:10.14070/j.cnki.15-1098.1982.02.011.</w:t>
      </w:r>
    </w:p>
    <w:p w14:paraId="1FEB212A">
      <w:pPr>
        <w:spacing w:after="168" w:line="259" w:lineRule="auto"/>
        <w:ind w:left="415" w:hanging="10"/>
        <w:rPr>
          <w:rFonts w:asciiTheme="minorEastAsia" w:hAnsiTheme="minorEastAsia"/>
          <w:szCs w:val="21"/>
        </w:rPr>
      </w:pPr>
      <w:r>
        <w:rPr>
          <w:rFonts w:asciiTheme="minorEastAsia" w:hAnsiTheme="minorEastAsia"/>
          <w:szCs w:val="21"/>
        </w:rPr>
        <w:t>[7]  钟炳炎. 谈谈茧仓库的虫害防治工作 [J]. 蚕丝通报, 1957, (03): 33-34.</w:t>
      </w:r>
    </w:p>
    <w:p w14:paraId="7867371F">
      <w:pPr>
        <w:spacing w:after="168" w:line="259" w:lineRule="auto"/>
        <w:ind w:left="415" w:hanging="10"/>
        <w:rPr>
          <w:rFonts w:asciiTheme="minorEastAsia" w:hAnsiTheme="minorEastAsia"/>
          <w:szCs w:val="21"/>
        </w:rPr>
      </w:pPr>
      <w:r>
        <w:rPr>
          <w:rFonts w:asciiTheme="minorEastAsia" w:hAnsiTheme="minorEastAsia"/>
          <w:szCs w:val="21"/>
        </w:rPr>
        <w:t>[8]  王争艳,罗琼,刘子迈,等. 储藏物害虫引诱剂的研究和应用进展 [J/OL]. 中国粮油</w:t>
      </w:r>
    </w:p>
    <w:p w14:paraId="04FE7891">
      <w:pPr>
        <w:spacing w:after="168" w:line="259" w:lineRule="auto"/>
        <w:ind w:left="10" w:hanging="10"/>
        <w:rPr>
          <w:rFonts w:asciiTheme="minorEastAsia" w:hAnsiTheme="minorEastAsia"/>
          <w:szCs w:val="21"/>
        </w:rPr>
      </w:pPr>
      <w:r>
        <w:rPr>
          <w:rFonts w:asciiTheme="minorEastAsia" w:hAnsiTheme="minorEastAsia"/>
          <w:szCs w:val="21"/>
        </w:rPr>
        <w:t xml:space="preserve">学报, 1-15[2025-04-22]. </w:t>
      </w:r>
      <w:r>
        <w:fldChar w:fldCharType="begin"/>
      </w:r>
      <w:r>
        <w:instrText xml:space="preserve"> HYPERLINK "https://doi.org/10.20048/j.cnki.issn.1003-0174.001074" </w:instrText>
      </w:r>
      <w:r>
        <w:fldChar w:fldCharType="separate"/>
      </w:r>
      <w:r>
        <w:rPr>
          <w:rStyle w:val="16"/>
          <w:rFonts w:asciiTheme="minorEastAsia" w:hAnsiTheme="minorEastAsia"/>
          <w:szCs w:val="21"/>
        </w:rPr>
        <w:t>https://doi.org/10.20048/j.cnki.issn.1003-0174.001074</w:t>
      </w:r>
      <w:r>
        <w:rPr>
          <w:rStyle w:val="16"/>
          <w:rFonts w:asciiTheme="minorEastAsia" w:hAnsiTheme="minorEastAsia"/>
          <w:szCs w:val="21"/>
        </w:rPr>
        <w:fldChar w:fldCharType="end"/>
      </w:r>
      <w:r>
        <w:rPr>
          <w:rFonts w:asciiTheme="minorEastAsia" w:hAnsiTheme="minorEastAsia"/>
          <w:szCs w:val="21"/>
        </w:rPr>
        <w:t>.</w:t>
      </w:r>
    </w:p>
    <w:p w14:paraId="7E4F2743">
      <w:pPr>
        <w:spacing w:after="168" w:line="259" w:lineRule="auto"/>
        <w:ind w:left="415" w:hanging="10"/>
        <w:rPr>
          <w:rFonts w:asciiTheme="minorEastAsia" w:hAnsiTheme="minorEastAsia"/>
          <w:szCs w:val="21"/>
        </w:rPr>
      </w:pPr>
      <w:r>
        <w:rPr>
          <w:rFonts w:asciiTheme="minorEastAsia" w:hAnsiTheme="minorEastAsia"/>
          <w:szCs w:val="21"/>
        </w:rPr>
        <w:t>[9]  柳江,王忆,肖勇,等. 凉山主要烟叶仓储害虫性诱剂筛选与评价 [J]. 四川农业与</w:t>
      </w:r>
    </w:p>
    <w:p w14:paraId="71C6593B">
      <w:pPr>
        <w:spacing w:after="168" w:line="259" w:lineRule="auto"/>
        <w:ind w:left="10" w:hanging="10"/>
        <w:rPr>
          <w:rFonts w:asciiTheme="minorEastAsia" w:hAnsiTheme="minorEastAsia"/>
          <w:szCs w:val="21"/>
        </w:rPr>
      </w:pPr>
      <w:r>
        <w:rPr>
          <w:rFonts w:asciiTheme="minorEastAsia" w:hAnsiTheme="minorEastAsia"/>
          <w:szCs w:val="21"/>
        </w:rPr>
        <w:t>农机, 2024, (05): 31-33+37.</w:t>
      </w:r>
    </w:p>
    <w:p w14:paraId="41271A0B">
      <w:pPr>
        <w:spacing w:after="168" w:line="259" w:lineRule="auto"/>
        <w:ind w:left="415" w:hanging="10"/>
        <w:rPr>
          <w:rFonts w:asciiTheme="minorEastAsia" w:hAnsiTheme="minorEastAsia"/>
          <w:szCs w:val="21"/>
        </w:rPr>
      </w:pPr>
      <w:r>
        <w:rPr>
          <w:rFonts w:asciiTheme="minorEastAsia" w:hAnsiTheme="minorEastAsia"/>
          <w:szCs w:val="21"/>
        </w:rPr>
        <w:t>[10]  刘思琦,吕建华,许俊亚,等. 氮气处理对赤拟谷盗生理生化反应的影响 [J/OL].</w:t>
      </w:r>
    </w:p>
    <w:p w14:paraId="5E06798C">
      <w:pPr>
        <w:spacing w:after="168" w:line="259" w:lineRule="auto"/>
        <w:ind w:left="10" w:hanging="10"/>
        <w:rPr>
          <w:rFonts w:asciiTheme="minorEastAsia" w:hAnsiTheme="minorEastAsia"/>
          <w:szCs w:val="21"/>
        </w:rPr>
      </w:pPr>
      <w:r>
        <w:rPr>
          <w:rFonts w:asciiTheme="minorEastAsia" w:hAnsiTheme="minorEastAsia"/>
          <w:szCs w:val="21"/>
        </w:rPr>
        <w:t>环境昆虫学报, 1-11[2025-04-22]. /detail/44.1640.Q.20240926.1429.002.html.</w:t>
      </w:r>
    </w:p>
    <w:p w14:paraId="086141D2">
      <w:pPr>
        <w:spacing w:after="168" w:line="259" w:lineRule="auto"/>
        <w:ind w:left="415" w:hanging="10"/>
        <w:rPr>
          <w:rFonts w:asciiTheme="minorEastAsia" w:hAnsiTheme="minorEastAsia"/>
          <w:szCs w:val="21"/>
        </w:rPr>
      </w:pPr>
      <w:r>
        <w:rPr>
          <w:rFonts w:asciiTheme="minorEastAsia" w:hAnsiTheme="minorEastAsia"/>
          <w:szCs w:val="21"/>
        </w:rPr>
        <w:t>[11]  陈雅妮,李卓丽,潘夏丽,等. 酸模乙醇粗提物对3种害虫的生物活性研究 [J]. 中</w:t>
      </w:r>
    </w:p>
    <w:p w14:paraId="756EA109">
      <w:pPr>
        <w:spacing w:after="168" w:line="259" w:lineRule="auto"/>
        <w:ind w:left="10" w:hanging="10"/>
        <w:rPr>
          <w:rFonts w:asciiTheme="minorEastAsia" w:hAnsiTheme="minorEastAsia"/>
          <w:szCs w:val="21"/>
        </w:rPr>
      </w:pPr>
      <w:r>
        <w:rPr>
          <w:rFonts w:asciiTheme="minorEastAsia" w:hAnsiTheme="minorEastAsia"/>
          <w:szCs w:val="21"/>
        </w:rPr>
        <w:t>国农学通报, 2024, 40 (26): 98-102.</w:t>
      </w:r>
    </w:p>
    <w:p w14:paraId="58170403">
      <w:pPr>
        <w:spacing w:after="168" w:line="259" w:lineRule="auto"/>
        <w:ind w:left="10" w:hanging="10"/>
      </w:pPr>
    </w:p>
    <w:p w14:paraId="106D95D0">
      <w:pPr>
        <w:spacing w:after="168" w:line="259" w:lineRule="auto"/>
        <w:ind w:left="10" w:hanging="10"/>
      </w:pPr>
    </w:p>
    <w:p w14:paraId="675C61D5">
      <w:pPr>
        <w:widowControl/>
        <w:jc w:val="left"/>
        <w:rPr>
          <w:rFonts w:asciiTheme="minorEastAsia" w:hAnsiTheme="minorEastAsia"/>
          <w:sz w:val="24"/>
        </w:rPr>
      </w:pPr>
    </w:p>
    <w:sectPr>
      <w:headerReference r:id="rId4" w:type="default"/>
      <w:footerReference r:id="rId5" w:type="default"/>
      <w:pgSz w:w="11906" w:h="16838"/>
      <w:pgMar w:top="1531" w:right="1417" w:bottom="1701" w:left="1701" w:header="851" w:footer="992" w:gutter="0"/>
      <w:pgNumType w:start="1"/>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MS Mincho">
    <w:altName w:val="Yu Gothic UI"/>
    <w:panose1 w:val="02020609040205080304"/>
    <w:charset w:val="80"/>
    <w:family w:val="modern"/>
    <w:pitch w:val="default"/>
    <w:sig w:usb0="00000000" w:usb1="00000000" w:usb2="08000012" w:usb3="00000000" w:csb0="0002009F" w:csb1="00000000"/>
  </w:font>
  <w:font w:name="ＭＳ 明朝">
    <w:altName w:val="Segoe Print"/>
    <w:panose1 w:val="00000000000000000000"/>
    <w:charset w:val="00"/>
    <w:family w:val="auto"/>
    <w:pitch w:val="default"/>
    <w:sig w:usb0="00000000" w:usb1="00000000" w:usb2="00000000" w:usb3="00000000" w:csb0="00000000" w:csb1="00000000"/>
  </w:font>
  <w:font w:name="Arial">
    <w:panose1 w:val="020B0604020202020204"/>
    <w:charset w:val="00"/>
    <w:family w:val="swiss"/>
    <w:pitch w:val="default"/>
    <w:sig w:usb0="E0002EFF" w:usb1="C000785B" w:usb2="00000009" w:usb3="00000000" w:csb0="400001FF" w:csb1="FFFF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Yu Gothic UI">
    <w:panose1 w:val="020B0500000000000000"/>
    <w:charset w:val="80"/>
    <w:family w:val="auto"/>
    <w:pitch w:val="default"/>
    <w:sig w:usb0="E00002FF" w:usb1="2AC7FDFF" w:usb2="00000016" w:usb3="00000000" w:csb0="2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1886B6">
    <w:pPr>
      <w:pStyle w:val="8"/>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1" name="文本框 2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F2A4AC2">
                          <w:pPr>
                            <w:pStyle w:val="8"/>
                          </w:pPr>
                          <w:r>
                            <w:rPr>
                              <w:rFonts w:hint="eastAsia"/>
                            </w:rPr>
                            <w:fldChar w:fldCharType="begin"/>
                          </w:r>
                          <w:r>
                            <w:rPr>
                              <w:rFonts w:hint="eastAsia"/>
                            </w:rPr>
                            <w:instrText xml:space="preserve"> PAGE  \* MERGEFORMAT </w:instrText>
                          </w:r>
                          <w:r>
                            <w:rPr>
                              <w:rFonts w:hint="eastAsia"/>
                            </w:rPr>
                            <w:fldChar w:fldCharType="separate"/>
                          </w:r>
                          <w:r>
                            <w:t>9</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CaHyL/KwIAAFcEAAAOAAAAAAAAAAEAIAAAAB8BAABkcnMvZTJvRG9jLnhtbFBLBQYAAAAABgAG&#10;AFkBAAC8BQAAAAA=&#10;">
              <v:fill on="f" focussize="0,0"/>
              <v:stroke on="f" weight="0.5pt"/>
              <v:imagedata o:title=""/>
              <o:lock v:ext="edit" aspectratio="f"/>
              <v:textbox inset="0mm,0mm,0mm,0mm" style="mso-fit-shape-to-text:t;">
                <w:txbxContent>
                  <w:p w14:paraId="4F2A4AC2">
                    <w:pPr>
                      <w:pStyle w:val="8"/>
                    </w:pPr>
                    <w:r>
                      <w:rPr>
                        <w:rFonts w:hint="eastAsia"/>
                      </w:rPr>
                      <w:fldChar w:fldCharType="begin"/>
                    </w:r>
                    <w:r>
                      <w:rPr>
                        <w:rFonts w:hint="eastAsia"/>
                      </w:rPr>
                      <w:instrText xml:space="preserve"> PAGE  \* MERGEFORMAT </w:instrText>
                    </w:r>
                    <w:r>
                      <w:rPr>
                        <w:rFonts w:hint="eastAsia"/>
                      </w:rPr>
                      <w:fldChar w:fldCharType="separate"/>
                    </w:r>
                    <w:r>
                      <w:t>9</w:t>
                    </w:r>
                    <w:r>
                      <w:rPr>
                        <w:rFonts w:hint="eastAsia"/>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E0A2AB">
    <w:pPr>
      <w:pBdr>
        <w:bottom w:val="single" w:color="auto" w:sz="6" w:space="1"/>
      </w:pBdr>
      <w:tabs>
        <w:tab w:val="center" w:pos="4153"/>
        <w:tab w:val="right" w:pos="8306"/>
      </w:tabs>
      <w:snapToGrid w:val="0"/>
      <w:jc w:val="center"/>
      <w:rPr>
        <w:rFonts w:ascii="宋体" w:hAnsi="宋体" w:eastAsia="宋体" w:cs="Times New Roman"/>
        <w:sz w:val="18"/>
        <w:szCs w:val="18"/>
      </w:rPr>
    </w:pPr>
    <w:r>
      <w:rPr>
        <w:rFonts w:hint="eastAsia" w:ascii="宋体" w:hAnsi="宋体" w:eastAsia="宋体" w:cs="Times New Roman"/>
        <w:sz w:val="18"/>
        <w:szCs w:val="18"/>
      </w:rPr>
      <w:t>广东创新科技职业学院</w:t>
    </w:r>
    <w:r>
      <w:rPr>
        <w:rFonts w:ascii="宋体" w:hAnsi="宋体" w:eastAsia="宋体" w:cs="Times New Roman"/>
        <w:sz w:val="18"/>
        <w:szCs w:val="18"/>
      </w:rPr>
      <w:t>2025届毕业设计（论文）</w:t>
    </w:r>
  </w:p>
  <w:p w14:paraId="7B2B85C1">
    <w:pPr>
      <w:pStyle w:val="9"/>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46CE41">
    <w:pPr>
      <w:pBdr>
        <w:bottom w:val="single" w:color="auto" w:sz="6" w:space="1"/>
      </w:pBdr>
      <w:tabs>
        <w:tab w:val="center" w:pos="4153"/>
        <w:tab w:val="right" w:pos="8306"/>
      </w:tabs>
      <w:snapToGrid w:val="0"/>
      <w:jc w:val="center"/>
      <w:rPr>
        <w:rFonts w:ascii="宋体" w:hAnsi="宋体" w:eastAsia="宋体" w:cs="Times New Roman"/>
        <w:sz w:val="18"/>
        <w:szCs w:val="18"/>
      </w:rPr>
    </w:pPr>
    <w:r>
      <w:rPr>
        <w:rFonts w:hint="eastAsia" w:ascii="宋体" w:hAnsi="宋体" w:eastAsia="宋体" w:cs="Times New Roman"/>
        <w:sz w:val="18"/>
        <w:szCs w:val="18"/>
      </w:rPr>
      <w:t>广东创新科技职业学院</w:t>
    </w:r>
    <w:r>
      <w:rPr>
        <w:rFonts w:ascii="宋体" w:hAnsi="宋体" w:eastAsia="宋体" w:cs="Times New Roman"/>
        <w:sz w:val="18"/>
        <w:szCs w:val="18"/>
      </w:rPr>
      <w:t>2025届毕业设计（论文）</w:t>
    </w:r>
  </w:p>
  <w:p w14:paraId="689951FD">
    <w:pPr>
      <w:pStyle w:val="9"/>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HorizontalSpacing w:val="105"/>
  <w:drawingGridVerticalSpacing w:val="156"/>
  <w:displayHorizontalDrawingGridEvery w:val="2"/>
  <w:displayVerticalDrawingGridEvery w:val="2"/>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DdhMjhiMzJlY2Y4N2M1MmFiZDgzNTEzNDIwZDAzNmYifQ=="/>
  </w:docVars>
  <w:rsids>
    <w:rsidRoot w:val="00BA6FEF"/>
    <w:rsid w:val="00087593"/>
    <w:rsid w:val="000F5055"/>
    <w:rsid w:val="000F5A1C"/>
    <w:rsid w:val="00215E0C"/>
    <w:rsid w:val="002A4C6D"/>
    <w:rsid w:val="005441BD"/>
    <w:rsid w:val="005A5145"/>
    <w:rsid w:val="006A6C5E"/>
    <w:rsid w:val="00793F49"/>
    <w:rsid w:val="00983DC0"/>
    <w:rsid w:val="009C3FDF"/>
    <w:rsid w:val="00A03B94"/>
    <w:rsid w:val="00A1371A"/>
    <w:rsid w:val="00A268E6"/>
    <w:rsid w:val="00A900E0"/>
    <w:rsid w:val="00BA6FEF"/>
    <w:rsid w:val="00BE1FA0"/>
    <w:rsid w:val="00C25952"/>
    <w:rsid w:val="00CA121E"/>
    <w:rsid w:val="00D10399"/>
    <w:rsid w:val="00DC2778"/>
    <w:rsid w:val="00DE75BB"/>
    <w:rsid w:val="00E472F1"/>
    <w:rsid w:val="00F31D9F"/>
    <w:rsid w:val="00FF7EEE"/>
    <w:rsid w:val="09350DE0"/>
    <w:rsid w:val="1D4060FC"/>
    <w:rsid w:val="1D481745"/>
    <w:rsid w:val="5C872843"/>
    <w:rsid w:val="5FA71267"/>
    <w:rsid w:val="73632AE4"/>
    <w:rsid w:val="7C76037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0" w:semiHidden="0" w:name="heading 3"/>
    <w:lsdException w:qFormat="1" w:uiPriority="0" w:semiHidden="0" w:name="heading 4"/>
    <w:lsdException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qFormat="1" w:uiPriority="39" w:semiHidden="0" w:name="toc 2"/>
    <w:lsdException w:qFormat="1" w:uiPriority="39"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21"/>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24"/>
    <w:unhideWhenUsed/>
    <w:qFormat/>
    <w:uiPriority w:val="9"/>
    <w:pPr>
      <w:keepNext/>
      <w:keepLines/>
      <w:spacing w:line="360" w:lineRule="auto"/>
      <w:jc w:val="left"/>
      <w:outlineLvl w:val="1"/>
    </w:pPr>
    <w:rPr>
      <w:rFonts w:ascii="Times New Roman" w:hAnsi="Times New Roman" w:eastAsia="宋体"/>
      <w:b/>
      <w:sz w:val="28"/>
    </w:rPr>
  </w:style>
  <w:style w:type="paragraph" w:styleId="4">
    <w:name w:val="heading 3"/>
    <w:basedOn w:val="1"/>
    <w:next w:val="1"/>
    <w:link w:val="28"/>
    <w:unhideWhenUsed/>
    <w:qFormat/>
    <w:uiPriority w:val="0"/>
    <w:pPr>
      <w:keepNext/>
      <w:keepLines/>
      <w:spacing w:before="260" w:after="260" w:line="416" w:lineRule="auto"/>
      <w:outlineLvl w:val="2"/>
    </w:pPr>
    <w:rPr>
      <w:b/>
      <w:bCs/>
      <w:sz w:val="32"/>
      <w:szCs w:val="32"/>
    </w:rPr>
  </w:style>
  <w:style w:type="paragraph" w:styleId="5">
    <w:name w:val="heading 4"/>
    <w:basedOn w:val="1"/>
    <w:next w:val="1"/>
    <w:link w:val="27"/>
    <w:unhideWhenUsed/>
    <w:qFormat/>
    <w:uiPriority w:val="0"/>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15">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6">
    <w:name w:val="toc 3"/>
    <w:basedOn w:val="1"/>
    <w:next w:val="1"/>
    <w:unhideWhenUsed/>
    <w:qFormat/>
    <w:uiPriority w:val="39"/>
    <w:pPr>
      <w:widowControl/>
      <w:spacing w:after="100" w:line="259" w:lineRule="auto"/>
      <w:ind w:left="440"/>
      <w:jc w:val="left"/>
    </w:pPr>
    <w:rPr>
      <w:rFonts w:cs="Times New Roman"/>
      <w:kern w:val="0"/>
      <w:sz w:val="22"/>
      <w:szCs w:val="22"/>
    </w:rPr>
  </w:style>
  <w:style w:type="paragraph" w:styleId="7">
    <w:name w:val="Date"/>
    <w:basedOn w:val="1"/>
    <w:next w:val="1"/>
    <w:link w:val="25"/>
    <w:qFormat/>
    <w:uiPriority w:val="0"/>
    <w:pPr>
      <w:ind w:left="100" w:leftChars="2500"/>
    </w:pPr>
  </w:style>
  <w:style w:type="paragraph" w:styleId="8">
    <w:name w:val="footer"/>
    <w:basedOn w:val="1"/>
    <w:qFormat/>
    <w:uiPriority w:val="0"/>
    <w:pPr>
      <w:tabs>
        <w:tab w:val="center" w:pos="4153"/>
        <w:tab w:val="right" w:pos="8306"/>
      </w:tabs>
      <w:snapToGrid w:val="0"/>
      <w:jc w:val="left"/>
    </w:pPr>
    <w:rPr>
      <w:sz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0">
    <w:name w:val="toc 1"/>
    <w:basedOn w:val="1"/>
    <w:next w:val="1"/>
    <w:unhideWhenUsed/>
    <w:qFormat/>
    <w:uiPriority w:val="39"/>
    <w:pPr>
      <w:widowControl/>
      <w:spacing w:after="100" w:line="259" w:lineRule="auto"/>
      <w:jc w:val="left"/>
    </w:pPr>
    <w:rPr>
      <w:rFonts w:cs="Times New Roman"/>
      <w:kern w:val="0"/>
      <w:sz w:val="22"/>
      <w:szCs w:val="22"/>
    </w:rPr>
  </w:style>
  <w:style w:type="paragraph" w:styleId="11">
    <w:name w:val="toc 2"/>
    <w:basedOn w:val="1"/>
    <w:next w:val="1"/>
    <w:unhideWhenUsed/>
    <w:qFormat/>
    <w:uiPriority w:val="39"/>
    <w:pPr>
      <w:widowControl/>
      <w:spacing w:after="100" w:line="259" w:lineRule="auto"/>
      <w:ind w:left="220"/>
      <w:jc w:val="left"/>
    </w:pPr>
    <w:rPr>
      <w:rFonts w:cs="Times New Roman"/>
      <w:kern w:val="0"/>
      <w:sz w:val="22"/>
      <w:szCs w:val="22"/>
    </w:rPr>
  </w:style>
  <w:style w:type="paragraph" w:styleId="12">
    <w:name w:val="Normal (Web)"/>
    <w:basedOn w:val="1"/>
    <w:qFormat/>
    <w:uiPriority w:val="0"/>
    <w:rPr>
      <w:rFonts w:ascii="Times New Roman" w:hAnsi="Times New Roman" w:cs="Times New Roman"/>
      <w:sz w:val="24"/>
    </w:rPr>
  </w:style>
  <w:style w:type="paragraph" w:styleId="13">
    <w:name w:val="Title"/>
    <w:basedOn w:val="1"/>
    <w:next w:val="1"/>
    <w:link w:val="26"/>
    <w:qFormat/>
    <w:uiPriority w:val="0"/>
    <w:pPr>
      <w:spacing w:before="240" w:after="60"/>
      <w:jc w:val="center"/>
      <w:outlineLvl w:val="0"/>
    </w:pPr>
    <w:rPr>
      <w:rFonts w:eastAsia="宋体" w:asciiTheme="majorHAnsi" w:hAnsiTheme="majorHAnsi" w:cstheme="majorBidi"/>
      <w:b/>
      <w:bCs/>
      <w:sz w:val="32"/>
      <w:szCs w:val="32"/>
    </w:rPr>
  </w:style>
  <w:style w:type="character" w:styleId="16">
    <w:name w:val="Hyperlink"/>
    <w:basedOn w:val="15"/>
    <w:qFormat/>
    <w:uiPriority w:val="99"/>
    <w:rPr>
      <w:color w:val="0000FF"/>
      <w:u w:val="single"/>
    </w:rPr>
  </w:style>
  <w:style w:type="paragraph" w:customStyle="1" w:styleId="17">
    <w:name w:val="WPSOffice手动目录 1"/>
    <w:uiPriority w:val="0"/>
    <w:rPr>
      <w:rFonts w:ascii="Times New Roman" w:hAnsi="Times New Roman" w:eastAsia="宋体" w:cs="Times New Roman"/>
      <w:lang w:val="en-US" w:eastAsia="zh-CN" w:bidi="ar-SA"/>
    </w:rPr>
  </w:style>
  <w:style w:type="paragraph" w:customStyle="1" w:styleId="18">
    <w:name w:val="WPSOffice手动目录 2"/>
    <w:uiPriority w:val="0"/>
    <w:pPr>
      <w:ind w:left="200" w:leftChars="200"/>
    </w:pPr>
    <w:rPr>
      <w:rFonts w:ascii="Times New Roman" w:hAnsi="Times New Roman" w:eastAsia="宋体" w:cs="Times New Roman"/>
      <w:lang w:val="en-US" w:eastAsia="zh-CN" w:bidi="ar-SA"/>
    </w:rPr>
  </w:style>
  <w:style w:type="paragraph" w:customStyle="1" w:styleId="19">
    <w:name w:val="WPSOffice手动目录 3"/>
    <w:uiPriority w:val="0"/>
    <w:pPr>
      <w:ind w:left="400" w:leftChars="400"/>
    </w:pPr>
    <w:rPr>
      <w:rFonts w:ascii="Times New Roman" w:hAnsi="Times New Roman" w:eastAsia="宋体" w:cs="Times New Roman"/>
      <w:lang w:val="en-US" w:eastAsia="zh-CN" w:bidi="ar-SA"/>
    </w:rPr>
  </w:style>
  <w:style w:type="paragraph" w:customStyle="1" w:styleId="20">
    <w:name w:val="列出段落1"/>
    <w:basedOn w:val="1"/>
    <w:qFormat/>
    <w:uiPriority w:val="34"/>
    <w:pPr>
      <w:ind w:left="720"/>
      <w:contextualSpacing/>
    </w:pPr>
  </w:style>
  <w:style w:type="character" w:customStyle="1" w:styleId="21">
    <w:name w:val="标题 1 Char"/>
    <w:basedOn w:val="15"/>
    <w:link w:val="2"/>
    <w:qFormat/>
    <w:uiPriority w:val="9"/>
    <w:rPr>
      <w:rFonts w:asciiTheme="minorHAnsi" w:hAnsiTheme="minorHAnsi" w:cstheme="minorBidi"/>
      <w:b/>
      <w:bCs/>
      <w:kern w:val="44"/>
      <w:sz w:val="44"/>
      <w:szCs w:val="44"/>
    </w:rPr>
  </w:style>
  <w:style w:type="paragraph" w:customStyle="1" w:styleId="22">
    <w:name w:val="TOC 标题1"/>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E75B6" w:themeColor="accent1" w:themeShade="BF"/>
      <w:kern w:val="0"/>
      <w:sz w:val="32"/>
      <w:szCs w:val="32"/>
    </w:rPr>
  </w:style>
  <w:style w:type="paragraph" w:customStyle="1" w:styleId="23">
    <w:name w:val="列出段落2"/>
    <w:basedOn w:val="1"/>
    <w:qFormat/>
    <w:uiPriority w:val="99"/>
    <w:pPr>
      <w:ind w:firstLine="420" w:firstLineChars="200"/>
    </w:pPr>
  </w:style>
  <w:style w:type="character" w:customStyle="1" w:styleId="24">
    <w:name w:val="标题 2 Char"/>
    <w:basedOn w:val="15"/>
    <w:link w:val="3"/>
    <w:qFormat/>
    <w:uiPriority w:val="9"/>
    <w:rPr>
      <w:rFonts w:eastAsia="宋体" w:cstheme="minorBidi"/>
      <w:b/>
      <w:kern w:val="2"/>
      <w:sz w:val="28"/>
      <w:szCs w:val="24"/>
    </w:rPr>
  </w:style>
  <w:style w:type="character" w:customStyle="1" w:styleId="25">
    <w:name w:val="日期 Char"/>
    <w:basedOn w:val="15"/>
    <w:link w:val="7"/>
    <w:qFormat/>
    <w:uiPriority w:val="0"/>
    <w:rPr>
      <w:rFonts w:asciiTheme="minorHAnsi" w:hAnsiTheme="minorHAnsi" w:cstheme="minorBidi"/>
      <w:kern w:val="2"/>
      <w:sz w:val="21"/>
      <w:szCs w:val="24"/>
    </w:rPr>
  </w:style>
  <w:style w:type="character" w:customStyle="1" w:styleId="26">
    <w:name w:val="标题 Char"/>
    <w:basedOn w:val="15"/>
    <w:link w:val="13"/>
    <w:uiPriority w:val="0"/>
    <w:rPr>
      <w:rFonts w:asciiTheme="majorHAnsi" w:hAnsiTheme="majorHAnsi" w:cstheme="majorBidi"/>
      <w:b/>
      <w:bCs/>
      <w:kern w:val="2"/>
      <w:sz w:val="32"/>
      <w:szCs w:val="32"/>
    </w:rPr>
  </w:style>
  <w:style w:type="character" w:customStyle="1" w:styleId="27">
    <w:name w:val="标题 4 Char"/>
    <w:basedOn w:val="15"/>
    <w:link w:val="5"/>
    <w:uiPriority w:val="0"/>
    <w:rPr>
      <w:rFonts w:asciiTheme="majorHAnsi" w:hAnsiTheme="majorHAnsi" w:eastAsiaTheme="majorEastAsia" w:cstheme="majorBidi"/>
      <w:b/>
      <w:bCs/>
      <w:kern w:val="2"/>
      <w:sz w:val="28"/>
      <w:szCs w:val="28"/>
    </w:rPr>
  </w:style>
  <w:style w:type="character" w:customStyle="1" w:styleId="28">
    <w:name w:val="标题 3 Char"/>
    <w:basedOn w:val="15"/>
    <w:link w:val="4"/>
    <w:uiPriority w:val="0"/>
    <w:rPr>
      <w:rFonts w:asciiTheme="minorHAnsi" w:hAnsiTheme="minorHAnsi" w:eastAsiaTheme="minorEastAsia" w:cstheme="minorBidi"/>
      <w:b/>
      <w:bCs/>
      <w:kern w:val="2"/>
      <w:sz w:val="32"/>
      <w:szCs w:val="32"/>
    </w:rPr>
  </w:style>
  <w:style w:type="paragraph" w:customStyle="1" w:styleId="29">
    <w:name w:val="TOC Heading"/>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E75B6" w:themeColor="accent1" w:themeShade="BF"/>
      <w:kern w:val="0"/>
      <w:sz w:val="32"/>
      <w:szCs w:val="32"/>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D30953E-95EF-47D8-8EF4-5FF696995483}">
  <ds:schemaRefs/>
</ds:datastoreItem>
</file>

<file path=docProps/app.xml><?xml version="1.0" encoding="utf-8"?>
<Properties xmlns="http://schemas.openxmlformats.org/officeDocument/2006/extended-properties" xmlns:vt="http://schemas.openxmlformats.org/officeDocument/2006/docPropsVTypes">
  <Template>Normal</Template>
  <Pages>20</Pages>
  <Words>516</Words>
  <Characters>531</Characters>
  <Lines>126</Lines>
  <Paragraphs>35</Paragraphs>
  <TotalTime>13</TotalTime>
  <ScaleCrop>false</ScaleCrop>
  <LinksUpToDate>false</LinksUpToDate>
  <CharactersWithSpaces>563</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2025-05-03T14:02:00Z</dcterms:created>
  <dc:creator>子颖-weng</dc:creator>
  <cp:lastModifiedBy>ii</cp:lastModifiedBy>
  <dcterms:modified xsi:type="dcterms:W3CDTF">2025-05-22T01:35:36Z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KSORubyTemplateID">
    <vt:lpwstr>6</vt:lpwstr>
  </property>
  <property fmtid="{D5CDD505-2E9C-101B-9397-08002B2CF9AE}" pid="4" name="ICV">
    <vt:lpwstr>19D04DD06A4547B49FD0DC943C253A94_13</vt:lpwstr>
  </property>
  <property fmtid="{D5CDD505-2E9C-101B-9397-08002B2CF9AE}" pid="5" name="KSOTemplateDocerSaveRecord">
    <vt:lpwstr>eyJoZGlkIjoiYTgwN2MyNTg1ZTMyNWZhMzViYjY3NTBmNTQ3Njg3YjEiLCJ1c2VySWQiOiIxNTQ0NDU4MTY2In0=</vt:lpwstr>
  </property>
</Properties>
</file>