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C9836B7">
      <w:pPr>
        <w:widowControl/>
        <w:spacing w:before="100" w:beforeAutospacing="1" w:after="100" w:afterAutospacing="1" w:line="360" w:lineRule="auto"/>
        <w:ind w:firstLine="640"/>
        <w:jc w:val="center"/>
        <w:rPr>
          <w:rFonts w:ascii="宋体" w:hAnsi="宋体" w:eastAsia="宋体" w:cs="宋体"/>
          <w:color w:val="auto"/>
          <w:kern w:val="0"/>
          <w:sz w:val="32"/>
          <w:szCs w:val="22"/>
        </w:rPr>
      </w:pPr>
    </w:p>
    <w:p w14:paraId="310F2423">
      <w:pPr>
        <w:spacing w:line="300" w:lineRule="auto"/>
        <w:jc w:val="center"/>
        <w:rPr>
          <w:rFonts w:ascii="宋体" w:hAnsi="宋体" w:eastAsia="黑体" w:cs="Times New Roman"/>
          <w:color w:val="auto"/>
          <w:sz w:val="32"/>
        </w:rPr>
      </w:pPr>
      <w:r>
        <w:rPr>
          <w:rFonts w:hint="eastAsia" w:ascii="宋体" w:hAnsi="宋体" w:eastAsia="黑体" w:cs="Times New Roman"/>
          <w:color w:val="auto"/>
          <w:sz w:val="32"/>
        </w:rPr>
        <w:t>摘  要</w:t>
      </w:r>
    </w:p>
    <w:p w14:paraId="2E0E9E2E">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eastAsia" w:ascii="宋体" w:hAnsi="宋体" w:eastAsia="宋体" w:cs="Times New Roman"/>
          <w:color w:val="auto"/>
          <w:sz w:val="24"/>
          <w:szCs w:val="22"/>
        </w:rPr>
      </w:pPr>
      <w:r>
        <w:rPr>
          <w:rFonts w:hint="eastAsia" w:ascii="宋体" w:hAnsi="宋体" w:eastAsia="宋体" w:cs="Times New Roman"/>
          <w:color w:val="auto"/>
          <w:sz w:val="24"/>
          <w:szCs w:val="22"/>
        </w:rPr>
        <w:t>随着共享经济的兴起和城市化进程的加速，物流配送行业迎来了新的发展机遇和挑战。货拉拉作为国内领先的同城货运平台，通过创新的商业模式和技术应用，为用户提供了便捷、高效的物流配送服务。然而，随着市场竞争的加剧和用户需求的多样化，货拉拉在物流配送及服务方面仍需不断创新和优化。本文通过对货拉拉物流配送及服务现状的深入分析，探讨了其在物流配送及服务创新方面存在的问题，并提出了相应的创新方案。这些方案包括构建智能化配送网络、大数据驱动的精准服务、实施绿色物流以及提升客户体验等。通过这些创新措施，货拉拉不仅能够满足当前市场的需求，还能为未来的可持续发展奠定坚实的基础。</w:t>
      </w:r>
    </w:p>
    <w:p w14:paraId="43B80524">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eastAsia" w:ascii="宋体" w:hAnsi="宋体" w:eastAsia="宋体" w:cs="Times New Roman"/>
          <w:color w:val="auto"/>
          <w:sz w:val="24"/>
          <w:szCs w:val="22"/>
        </w:rPr>
      </w:pPr>
    </w:p>
    <w:p w14:paraId="3EC517C5">
      <w:pPr>
        <w:spacing w:line="300" w:lineRule="auto"/>
        <w:jc w:val="left"/>
        <w:rPr>
          <w:rFonts w:hint="eastAsia" w:ascii="宋体" w:hAnsi="宋体" w:eastAsia="宋体" w:cs="宋体"/>
          <w:color w:val="auto"/>
          <w:sz w:val="24"/>
          <w:szCs w:val="22"/>
        </w:rPr>
      </w:pPr>
      <w:r>
        <w:rPr>
          <w:rFonts w:hint="eastAsia" w:ascii="黑体" w:hAnsi="黑体" w:eastAsia="黑体" w:cs="黑体"/>
          <w:color w:val="auto"/>
          <w:sz w:val="24"/>
          <w:szCs w:val="22"/>
        </w:rPr>
        <w:t>关键词</w:t>
      </w:r>
      <w:r>
        <w:rPr>
          <w:rFonts w:hint="eastAsia" w:ascii="宋体" w:hAnsi="宋体" w:eastAsia="宋体" w:cs="宋体"/>
          <w:color w:val="auto"/>
          <w:sz w:val="24"/>
          <w:szCs w:val="22"/>
        </w:rPr>
        <w:t>：</w:t>
      </w:r>
      <w:r>
        <w:rPr>
          <w:rFonts w:hint="eastAsia" w:ascii="宋体" w:hAnsi="宋体" w:eastAsia="宋体" w:cs="宋体"/>
          <w:color w:val="auto"/>
          <w:kern w:val="0"/>
          <w:sz w:val="24"/>
          <w:szCs w:val="22"/>
        </w:rPr>
        <w:t>货拉拉；物流配送；服务创新；智能化；大数据</w:t>
      </w:r>
    </w:p>
    <w:p w14:paraId="6D1C1EC3">
      <w:pPr>
        <w:widowControl/>
        <w:spacing w:before="100" w:beforeAutospacing="1" w:after="100" w:afterAutospacing="1" w:line="360" w:lineRule="auto"/>
        <w:ind w:firstLine="640"/>
        <w:jc w:val="center"/>
        <w:rPr>
          <w:rFonts w:ascii="宋体" w:hAnsi="宋体" w:eastAsia="宋体" w:cs="宋体"/>
          <w:color w:val="auto"/>
          <w:kern w:val="0"/>
          <w:sz w:val="32"/>
          <w:szCs w:val="22"/>
        </w:rPr>
      </w:pPr>
    </w:p>
    <w:p w14:paraId="36ACC717">
      <w:pPr>
        <w:widowControl/>
        <w:spacing w:before="100" w:beforeAutospacing="1" w:after="100" w:afterAutospacing="1" w:line="360" w:lineRule="auto"/>
        <w:ind w:firstLine="640"/>
        <w:jc w:val="center"/>
        <w:rPr>
          <w:rFonts w:ascii="宋体" w:hAnsi="宋体" w:eastAsia="宋体" w:cs="宋体"/>
          <w:color w:val="auto"/>
          <w:kern w:val="0"/>
          <w:sz w:val="32"/>
          <w:szCs w:val="22"/>
        </w:rPr>
      </w:pPr>
    </w:p>
    <w:p w14:paraId="25779ACF">
      <w:pPr>
        <w:widowControl/>
        <w:spacing w:before="100" w:beforeAutospacing="1" w:after="100" w:afterAutospacing="1" w:line="360" w:lineRule="auto"/>
        <w:ind w:firstLine="640"/>
        <w:jc w:val="center"/>
        <w:rPr>
          <w:rFonts w:ascii="宋体" w:hAnsi="宋体" w:eastAsia="宋体" w:cs="宋体"/>
          <w:color w:val="auto"/>
          <w:kern w:val="0"/>
          <w:sz w:val="32"/>
          <w:szCs w:val="22"/>
        </w:rPr>
      </w:pPr>
    </w:p>
    <w:p w14:paraId="0A0FFCF1">
      <w:pPr>
        <w:widowControl/>
        <w:spacing w:before="100" w:beforeAutospacing="1" w:after="100" w:afterAutospacing="1" w:line="360" w:lineRule="auto"/>
        <w:ind w:firstLine="640"/>
        <w:jc w:val="center"/>
        <w:rPr>
          <w:rFonts w:ascii="宋体" w:hAnsi="宋体" w:eastAsia="宋体" w:cs="宋体"/>
          <w:color w:val="auto"/>
          <w:kern w:val="0"/>
          <w:sz w:val="32"/>
          <w:szCs w:val="22"/>
        </w:rPr>
      </w:pPr>
    </w:p>
    <w:p w14:paraId="374EB493">
      <w:pPr>
        <w:widowControl/>
        <w:spacing w:before="100" w:beforeAutospacing="1" w:after="100" w:afterAutospacing="1" w:line="360" w:lineRule="auto"/>
        <w:ind w:firstLine="640"/>
        <w:jc w:val="center"/>
        <w:rPr>
          <w:rFonts w:ascii="宋体" w:hAnsi="宋体" w:eastAsia="宋体" w:cs="宋体"/>
          <w:color w:val="auto"/>
          <w:kern w:val="0"/>
          <w:sz w:val="32"/>
          <w:szCs w:val="22"/>
        </w:rPr>
      </w:pPr>
    </w:p>
    <w:p w14:paraId="6240BE7E">
      <w:pPr>
        <w:widowControl/>
        <w:spacing w:before="100" w:beforeAutospacing="1" w:after="100" w:afterAutospacing="1" w:line="360" w:lineRule="auto"/>
        <w:ind w:firstLine="640"/>
        <w:jc w:val="center"/>
        <w:rPr>
          <w:rFonts w:ascii="宋体" w:hAnsi="宋体" w:eastAsia="宋体" w:cs="宋体"/>
          <w:color w:val="auto"/>
          <w:kern w:val="0"/>
          <w:sz w:val="32"/>
          <w:szCs w:val="22"/>
        </w:rPr>
      </w:pPr>
    </w:p>
    <w:p w14:paraId="51A09F68">
      <w:pPr>
        <w:widowControl/>
        <w:spacing w:before="100" w:beforeAutospacing="1" w:after="100" w:afterAutospacing="1" w:line="360" w:lineRule="auto"/>
        <w:ind w:firstLine="640"/>
        <w:jc w:val="center"/>
        <w:rPr>
          <w:rFonts w:ascii="宋体" w:hAnsi="宋体" w:eastAsia="宋体" w:cs="宋体"/>
          <w:color w:val="auto"/>
          <w:kern w:val="0"/>
          <w:sz w:val="32"/>
          <w:szCs w:val="22"/>
        </w:rPr>
      </w:pPr>
    </w:p>
    <w:p w14:paraId="6DB5BE56">
      <w:pPr>
        <w:widowControl/>
        <w:spacing w:before="100" w:beforeAutospacing="1" w:after="100" w:afterAutospacing="1" w:line="360" w:lineRule="auto"/>
        <w:ind w:firstLine="640"/>
        <w:jc w:val="center"/>
        <w:rPr>
          <w:rFonts w:ascii="宋体" w:hAnsi="宋体" w:eastAsia="宋体" w:cs="宋体"/>
          <w:color w:val="auto"/>
          <w:kern w:val="0"/>
          <w:sz w:val="32"/>
          <w:szCs w:val="22"/>
        </w:rPr>
        <w:sectPr>
          <w:headerReference r:id="rId3" w:type="default"/>
          <w:pgSz w:w="11906" w:h="16838"/>
          <w:pgMar w:top="1531" w:right="1417" w:bottom="1701" w:left="1701" w:header="851" w:footer="992" w:gutter="0"/>
          <w:pgNumType w:start="0"/>
          <w:cols w:space="0" w:num="1"/>
          <w:titlePg/>
          <w:docGrid w:type="lines" w:linePitch="312" w:charSpace="0"/>
        </w:sectPr>
      </w:pPr>
    </w:p>
    <w:p w14:paraId="398E96E4">
      <w:pPr>
        <w:widowControl/>
        <w:spacing w:before="100" w:beforeAutospacing="1" w:after="100" w:afterAutospacing="1" w:line="360" w:lineRule="auto"/>
        <w:rPr>
          <w:rFonts w:ascii="宋体" w:hAnsi="宋体" w:eastAsia="宋体" w:cs="宋体"/>
          <w:color w:val="auto"/>
          <w:kern w:val="0"/>
          <w:sz w:val="32"/>
          <w:szCs w:val="22"/>
        </w:rPr>
      </w:pPr>
    </w:p>
    <w:p w14:paraId="08F531F5">
      <w:pPr>
        <w:widowControl/>
        <w:spacing w:before="100" w:beforeAutospacing="1" w:after="100" w:afterAutospacing="1" w:line="360" w:lineRule="auto"/>
        <w:ind w:right="-632" w:rightChars="-301"/>
        <w:jc w:val="center"/>
        <w:rPr>
          <w:rFonts w:ascii="宋体" w:hAnsi="宋体" w:eastAsia="宋体" w:cs="宋体"/>
          <w:bCs/>
          <w:color w:val="auto"/>
          <w:kern w:val="2"/>
          <w:sz w:val="21"/>
          <w:szCs w:val="24"/>
          <w:lang w:val="zh-CN" w:eastAsia="zh-CN" w:bidi="ar-SA"/>
        </w:rPr>
      </w:pPr>
      <w:r>
        <w:rPr>
          <w:rFonts w:hint="eastAsia" w:eastAsia="黑体"/>
          <w:color w:val="auto"/>
          <w:sz w:val="32"/>
          <w:lang w:val="zh-CN"/>
        </w:rPr>
        <w:t>目  录</w:t>
      </w:r>
      <w:r>
        <w:rPr>
          <w:rFonts w:ascii="宋体" w:hAnsi="宋体" w:eastAsia="宋体" w:cs="Times New Roman"/>
          <w:bCs/>
          <w:color w:val="auto"/>
          <w:kern w:val="0"/>
          <w:sz w:val="22"/>
          <w:szCs w:val="22"/>
          <w:lang w:val="zh-CN"/>
        </w:rPr>
        <w:fldChar w:fldCharType="begin"/>
      </w:r>
      <w:r>
        <w:rPr>
          <w:rFonts w:ascii="宋体" w:hAnsi="宋体" w:eastAsia="宋体"/>
          <w:bCs/>
          <w:color w:val="auto"/>
          <w:lang w:val="zh-CN"/>
        </w:rPr>
        <w:instrText xml:space="preserve"> TOC \o "1-3" \h \z \u </w:instrText>
      </w:r>
      <w:r>
        <w:rPr>
          <w:rFonts w:ascii="宋体" w:hAnsi="宋体" w:eastAsia="宋体" w:cs="Times New Roman"/>
          <w:bCs/>
          <w:color w:val="auto"/>
          <w:kern w:val="0"/>
          <w:sz w:val="22"/>
          <w:szCs w:val="22"/>
          <w:lang w:val="zh-CN"/>
        </w:rPr>
        <w:fldChar w:fldCharType="separate"/>
      </w:r>
    </w:p>
    <w:p w14:paraId="0443FAC7">
      <w:pPr>
        <w:pStyle w:val="8"/>
        <w:tabs>
          <w:tab w:val="right" w:leader="dot" w:pos="8788"/>
        </w:tabs>
        <w:rPr>
          <w:rFonts w:hint="eastAsia" w:ascii="宋体" w:hAnsi="宋体" w:eastAsia="宋体" w:cs="宋体"/>
          <w:color w:val="auto"/>
          <w:sz w:val="28"/>
          <w:szCs w:val="28"/>
        </w:rPr>
      </w:pPr>
      <w:r>
        <w:rPr>
          <w:rFonts w:hint="eastAsia" w:ascii="宋体" w:hAnsi="宋体" w:eastAsia="宋体" w:cs="宋体"/>
          <w:bCs/>
          <w:color w:val="auto"/>
          <w:sz w:val="28"/>
          <w:szCs w:val="28"/>
          <w:lang w:val="zh-CN"/>
        </w:rPr>
        <w:fldChar w:fldCharType="begin"/>
      </w:r>
      <w:r>
        <w:rPr>
          <w:rFonts w:hint="eastAsia" w:ascii="宋体" w:hAnsi="宋体" w:eastAsia="宋体" w:cs="宋体"/>
          <w:bCs/>
          <w:color w:val="auto"/>
          <w:sz w:val="28"/>
          <w:szCs w:val="28"/>
          <w:lang w:val="zh-CN"/>
        </w:rPr>
        <w:instrText xml:space="preserve"> HYPERLINK \l _Toc38 </w:instrText>
      </w:r>
      <w:r>
        <w:rPr>
          <w:rFonts w:hint="eastAsia" w:ascii="宋体" w:hAnsi="宋体" w:eastAsia="宋体" w:cs="宋体"/>
          <w:bCs/>
          <w:color w:val="auto"/>
          <w:sz w:val="28"/>
          <w:szCs w:val="28"/>
          <w:lang w:val="zh-CN"/>
        </w:rPr>
        <w:fldChar w:fldCharType="separate"/>
      </w:r>
      <w:r>
        <w:rPr>
          <w:rFonts w:hint="eastAsia" w:ascii="宋体" w:hAnsi="宋体" w:eastAsia="宋体" w:cs="宋体"/>
          <w:bCs w:val="0"/>
          <w:color w:val="auto"/>
          <w:sz w:val="28"/>
          <w:szCs w:val="36"/>
        </w:rPr>
        <w:t>引言</w:t>
      </w:r>
      <w:r>
        <w:rPr>
          <w:rFonts w:hint="eastAsia" w:ascii="宋体" w:hAnsi="宋体" w:eastAsia="宋体" w:cs="宋体"/>
          <w:color w:val="auto"/>
          <w:sz w:val="28"/>
          <w:szCs w:val="28"/>
        </w:rPr>
        <w:tab/>
      </w: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PAGEREF _Toc38 \h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1</w:t>
      </w:r>
      <w:r>
        <w:rPr>
          <w:rFonts w:hint="eastAsia" w:ascii="宋体" w:hAnsi="宋体" w:eastAsia="宋体" w:cs="宋体"/>
          <w:color w:val="auto"/>
          <w:sz w:val="28"/>
          <w:szCs w:val="28"/>
        </w:rPr>
        <w:fldChar w:fldCharType="end"/>
      </w:r>
      <w:r>
        <w:rPr>
          <w:rFonts w:hint="eastAsia" w:ascii="宋体" w:hAnsi="宋体" w:eastAsia="宋体" w:cs="宋体"/>
          <w:bCs/>
          <w:color w:val="auto"/>
          <w:sz w:val="28"/>
          <w:szCs w:val="28"/>
          <w:lang w:val="zh-CN"/>
        </w:rPr>
        <w:fldChar w:fldCharType="end"/>
      </w:r>
    </w:p>
    <w:p w14:paraId="5238093A">
      <w:pPr>
        <w:pStyle w:val="8"/>
        <w:tabs>
          <w:tab w:val="right" w:leader="dot" w:pos="8788"/>
        </w:tabs>
        <w:rPr>
          <w:rFonts w:hint="eastAsia" w:ascii="宋体" w:hAnsi="宋体" w:eastAsia="宋体" w:cs="宋体"/>
          <w:color w:val="auto"/>
          <w:sz w:val="28"/>
          <w:szCs w:val="28"/>
        </w:rPr>
      </w:pPr>
      <w:r>
        <w:rPr>
          <w:rFonts w:hint="eastAsia" w:ascii="宋体" w:hAnsi="宋体" w:eastAsia="宋体" w:cs="宋体"/>
          <w:bCs/>
          <w:color w:val="auto"/>
          <w:sz w:val="28"/>
          <w:szCs w:val="28"/>
          <w:lang w:val="zh-CN"/>
        </w:rPr>
        <w:fldChar w:fldCharType="begin"/>
      </w:r>
      <w:r>
        <w:rPr>
          <w:rFonts w:hint="eastAsia" w:ascii="宋体" w:hAnsi="宋体" w:eastAsia="宋体" w:cs="宋体"/>
          <w:bCs/>
          <w:color w:val="auto"/>
          <w:sz w:val="28"/>
          <w:szCs w:val="28"/>
          <w:lang w:val="zh-CN"/>
        </w:rPr>
        <w:instrText xml:space="preserve"> HYPERLINK \l _Toc17996 </w:instrText>
      </w:r>
      <w:r>
        <w:rPr>
          <w:rFonts w:hint="eastAsia" w:ascii="宋体" w:hAnsi="宋体" w:eastAsia="宋体" w:cs="宋体"/>
          <w:bCs/>
          <w:color w:val="auto"/>
          <w:sz w:val="28"/>
          <w:szCs w:val="28"/>
          <w:lang w:val="zh-CN"/>
        </w:rPr>
        <w:fldChar w:fldCharType="separate"/>
      </w:r>
      <w:r>
        <w:rPr>
          <w:rFonts w:hint="eastAsia" w:ascii="宋体" w:hAnsi="宋体" w:eastAsia="宋体" w:cs="宋体"/>
          <w:bCs w:val="0"/>
          <w:color w:val="auto"/>
          <w:sz w:val="28"/>
          <w:szCs w:val="36"/>
        </w:rPr>
        <w:t>第一章  绪论</w:t>
      </w:r>
      <w:r>
        <w:rPr>
          <w:rFonts w:hint="eastAsia" w:ascii="宋体" w:hAnsi="宋体" w:eastAsia="宋体" w:cs="宋体"/>
          <w:color w:val="auto"/>
          <w:sz w:val="28"/>
          <w:szCs w:val="28"/>
        </w:rPr>
        <w:tab/>
      </w: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PAGEREF _Toc17996 \h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2</w:t>
      </w:r>
      <w:r>
        <w:rPr>
          <w:rFonts w:hint="eastAsia" w:ascii="宋体" w:hAnsi="宋体" w:eastAsia="宋体" w:cs="宋体"/>
          <w:color w:val="auto"/>
          <w:sz w:val="28"/>
          <w:szCs w:val="28"/>
        </w:rPr>
        <w:fldChar w:fldCharType="end"/>
      </w:r>
      <w:r>
        <w:rPr>
          <w:rFonts w:hint="eastAsia" w:ascii="宋体" w:hAnsi="宋体" w:eastAsia="宋体" w:cs="宋体"/>
          <w:bCs/>
          <w:color w:val="auto"/>
          <w:sz w:val="28"/>
          <w:szCs w:val="28"/>
          <w:lang w:val="zh-CN"/>
        </w:rPr>
        <w:fldChar w:fldCharType="end"/>
      </w:r>
    </w:p>
    <w:p w14:paraId="20357427">
      <w:pPr>
        <w:pStyle w:val="9"/>
        <w:tabs>
          <w:tab w:val="right" w:leader="dot" w:pos="8788"/>
        </w:tabs>
        <w:rPr>
          <w:rFonts w:hint="eastAsia" w:ascii="宋体" w:hAnsi="宋体" w:eastAsia="宋体" w:cs="宋体"/>
          <w:color w:val="auto"/>
          <w:sz w:val="28"/>
          <w:szCs w:val="28"/>
        </w:rPr>
      </w:pPr>
      <w:r>
        <w:rPr>
          <w:rFonts w:hint="eastAsia" w:ascii="宋体" w:hAnsi="宋体" w:eastAsia="宋体" w:cs="宋体"/>
          <w:bCs/>
          <w:color w:val="auto"/>
          <w:sz w:val="28"/>
          <w:szCs w:val="28"/>
          <w:lang w:val="zh-CN"/>
        </w:rPr>
        <w:fldChar w:fldCharType="begin"/>
      </w:r>
      <w:r>
        <w:rPr>
          <w:rFonts w:hint="eastAsia" w:ascii="宋体" w:hAnsi="宋体" w:eastAsia="宋体" w:cs="宋体"/>
          <w:bCs/>
          <w:color w:val="auto"/>
          <w:sz w:val="28"/>
          <w:szCs w:val="28"/>
          <w:lang w:val="zh-CN"/>
        </w:rPr>
        <w:instrText xml:space="preserve"> HYPERLINK \l _Toc29897 </w:instrText>
      </w:r>
      <w:r>
        <w:rPr>
          <w:rFonts w:hint="eastAsia" w:ascii="宋体" w:hAnsi="宋体" w:eastAsia="宋体" w:cs="宋体"/>
          <w:bCs/>
          <w:color w:val="auto"/>
          <w:sz w:val="28"/>
          <w:szCs w:val="28"/>
          <w:lang w:val="zh-CN"/>
        </w:rPr>
        <w:fldChar w:fldCharType="separate"/>
      </w:r>
      <w:r>
        <w:rPr>
          <w:rFonts w:hint="eastAsia" w:ascii="宋体" w:hAnsi="宋体" w:eastAsia="宋体" w:cs="宋体"/>
          <w:color w:val="auto"/>
          <w:sz w:val="28"/>
          <w:szCs w:val="36"/>
        </w:rPr>
        <w:t>1.1 物流配送及服务创新的概念</w:t>
      </w:r>
      <w:r>
        <w:rPr>
          <w:rFonts w:hint="eastAsia" w:ascii="宋体" w:hAnsi="宋体" w:eastAsia="宋体" w:cs="宋体"/>
          <w:color w:val="auto"/>
          <w:sz w:val="28"/>
          <w:szCs w:val="28"/>
        </w:rPr>
        <w:tab/>
      </w: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PAGEREF _Toc29897 \h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2</w:t>
      </w:r>
      <w:r>
        <w:rPr>
          <w:rFonts w:hint="eastAsia" w:ascii="宋体" w:hAnsi="宋体" w:eastAsia="宋体" w:cs="宋体"/>
          <w:color w:val="auto"/>
          <w:sz w:val="28"/>
          <w:szCs w:val="28"/>
        </w:rPr>
        <w:fldChar w:fldCharType="end"/>
      </w:r>
      <w:r>
        <w:rPr>
          <w:rFonts w:hint="eastAsia" w:ascii="宋体" w:hAnsi="宋体" w:eastAsia="宋体" w:cs="宋体"/>
          <w:bCs/>
          <w:color w:val="auto"/>
          <w:sz w:val="28"/>
          <w:szCs w:val="28"/>
          <w:lang w:val="zh-CN"/>
        </w:rPr>
        <w:fldChar w:fldCharType="end"/>
      </w:r>
    </w:p>
    <w:p w14:paraId="58CD5C5D">
      <w:pPr>
        <w:pStyle w:val="9"/>
        <w:tabs>
          <w:tab w:val="right" w:leader="dot" w:pos="8788"/>
        </w:tabs>
        <w:rPr>
          <w:rFonts w:hint="eastAsia" w:ascii="宋体" w:hAnsi="宋体" w:eastAsia="宋体" w:cs="宋体"/>
          <w:color w:val="auto"/>
          <w:sz w:val="28"/>
          <w:szCs w:val="28"/>
        </w:rPr>
      </w:pPr>
      <w:r>
        <w:rPr>
          <w:rFonts w:hint="eastAsia" w:ascii="宋体" w:hAnsi="宋体" w:eastAsia="宋体" w:cs="宋体"/>
          <w:bCs/>
          <w:color w:val="auto"/>
          <w:sz w:val="28"/>
          <w:szCs w:val="28"/>
          <w:lang w:val="zh-CN"/>
        </w:rPr>
        <w:fldChar w:fldCharType="begin"/>
      </w:r>
      <w:r>
        <w:rPr>
          <w:rFonts w:hint="eastAsia" w:ascii="宋体" w:hAnsi="宋体" w:eastAsia="宋体" w:cs="宋体"/>
          <w:bCs/>
          <w:color w:val="auto"/>
          <w:sz w:val="28"/>
          <w:szCs w:val="28"/>
          <w:lang w:val="zh-CN"/>
        </w:rPr>
        <w:instrText xml:space="preserve"> HYPERLINK \l _Toc23864 </w:instrText>
      </w:r>
      <w:r>
        <w:rPr>
          <w:rFonts w:hint="eastAsia" w:ascii="宋体" w:hAnsi="宋体" w:eastAsia="宋体" w:cs="宋体"/>
          <w:bCs/>
          <w:color w:val="auto"/>
          <w:sz w:val="28"/>
          <w:szCs w:val="28"/>
          <w:lang w:val="zh-CN"/>
        </w:rPr>
        <w:fldChar w:fldCharType="separate"/>
      </w:r>
      <w:r>
        <w:rPr>
          <w:rFonts w:hint="eastAsia" w:ascii="宋体" w:hAnsi="宋体" w:eastAsia="宋体" w:cs="宋体"/>
          <w:color w:val="auto"/>
          <w:sz w:val="28"/>
          <w:szCs w:val="36"/>
        </w:rPr>
        <w:t>1.2 研究意义</w:t>
      </w:r>
      <w:r>
        <w:rPr>
          <w:rFonts w:hint="eastAsia" w:ascii="宋体" w:hAnsi="宋体" w:eastAsia="宋体" w:cs="宋体"/>
          <w:color w:val="auto"/>
          <w:sz w:val="28"/>
          <w:szCs w:val="28"/>
        </w:rPr>
        <w:tab/>
      </w: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PAGEREF _Toc23864 \h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2</w:t>
      </w:r>
      <w:r>
        <w:rPr>
          <w:rFonts w:hint="eastAsia" w:ascii="宋体" w:hAnsi="宋体" w:eastAsia="宋体" w:cs="宋体"/>
          <w:color w:val="auto"/>
          <w:sz w:val="28"/>
          <w:szCs w:val="28"/>
        </w:rPr>
        <w:fldChar w:fldCharType="end"/>
      </w:r>
      <w:r>
        <w:rPr>
          <w:rFonts w:hint="eastAsia" w:ascii="宋体" w:hAnsi="宋体" w:eastAsia="宋体" w:cs="宋体"/>
          <w:bCs/>
          <w:color w:val="auto"/>
          <w:sz w:val="28"/>
          <w:szCs w:val="28"/>
          <w:lang w:val="zh-CN"/>
        </w:rPr>
        <w:fldChar w:fldCharType="end"/>
      </w:r>
    </w:p>
    <w:p w14:paraId="301C5E4F">
      <w:pPr>
        <w:pStyle w:val="8"/>
        <w:tabs>
          <w:tab w:val="right" w:leader="dot" w:pos="8788"/>
        </w:tabs>
        <w:rPr>
          <w:rFonts w:hint="eastAsia" w:ascii="宋体" w:hAnsi="宋体" w:eastAsia="宋体" w:cs="宋体"/>
          <w:color w:val="auto"/>
          <w:sz w:val="28"/>
          <w:szCs w:val="28"/>
        </w:rPr>
      </w:pPr>
      <w:r>
        <w:rPr>
          <w:rFonts w:hint="eastAsia" w:ascii="宋体" w:hAnsi="宋体" w:eastAsia="宋体" w:cs="宋体"/>
          <w:bCs/>
          <w:color w:val="auto"/>
          <w:sz w:val="28"/>
          <w:szCs w:val="28"/>
          <w:lang w:val="zh-CN"/>
        </w:rPr>
        <w:fldChar w:fldCharType="begin"/>
      </w:r>
      <w:r>
        <w:rPr>
          <w:rFonts w:hint="eastAsia" w:ascii="宋体" w:hAnsi="宋体" w:eastAsia="宋体" w:cs="宋体"/>
          <w:bCs/>
          <w:color w:val="auto"/>
          <w:sz w:val="28"/>
          <w:szCs w:val="28"/>
          <w:lang w:val="zh-CN"/>
        </w:rPr>
        <w:instrText xml:space="preserve"> HYPERLINK \l _Toc9255 </w:instrText>
      </w:r>
      <w:r>
        <w:rPr>
          <w:rFonts w:hint="eastAsia" w:ascii="宋体" w:hAnsi="宋体" w:eastAsia="宋体" w:cs="宋体"/>
          <w:bCs/>
          <w:color w:val="auto"/>
          <w:sz w:val="28"/>
          <w:szCs w:val="28"/>
          <w:lang w:val="zh-CN"/>
        </w:rPr>
        <w:fldChar w:fldCharType="separate"/>
      </w:r>
      <w:r>
        <w:rPr>
          <w:rFonts w:hint="eastAsia" w:ascii="宋体" w:hAnsi="宋体" w:eastAsia="宋体" w:cs="宋体"/>
          <w:bCs w:val="0"/>
          <w:color w:val="auto"/>
          <w:sz w:val="28"/>
          <w:szCs w:val="36"/>
        </w:rPr>
        <w:t>第二章 货拉拉物流配送及服务现状分析</w:t>
      </w:r>
      <w:r>
        <w:rPr>
          <w:rFonts w:hint="eastAsia" w:ascii="宋体" w:hAnsi="宋体" w:eastAsia="宋体" w:cs="宋体"/>
          <w:color w:val="auto"/>
          <w:sz w:val="28"/>
          <w:szCs w:val="28"/>
        </w:rPr>
        <w:tab/>
      </w: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PAGEREF _Toc9255 \h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3</w:t>
      </w:r>
      <w:r>
        <w:rPr>
          <w:rFonts w:hint="eastAsia" w:ascii="宋体" w:hAnsi="宋体" w:eastAsia="宋体" w:cs="宋体"/>
          <w:color w:val="auto"/>
          <w:sz w:val="28"/>
          <w:szCs w:val="28"/>
        </w:rPr>
        <w:fldChar w:fldCharType="end"/>
      </w:r>
      <w:r>
        <w:rPr>
          <w:rFonts w:hint="eastAsia" w:ascii="宋体" w:hAnsi="宋体" w:eastAsia="宋体" w:cs="宋体"/>
          <w:bCs/>
          <w:color w:val="auto"/>
          <w:sz w:val="28"/>
          <w:szCs w:val="28"/>
          <w:lang w:val="zh-CN"/>
        </w:rPr>
        <w:fldChar w:fldCharType="end"/>
      </w:r>
    </w:p>
    <w:p w14:paraId="717BDEC8">
      <w:pPr>
        <w:pStyle w:val="9"/>
        <w:tabs>
          <w:tab w:val="right" w:leader="dot" w:pos="8788"/>
        </w:tabs>
        <w:rPr>
          <w:rFonts w:hint="eastAsia" w:ascii="宋体" w:hAnsi="宋体" w:eastAsia="宋体" w:cs="宋体"/>
          <w:color w:val="auto"/>
          <w:sz w:val="28"/>
          <w:szCs w:val="28"/>
        </w:rPr>
      </w:pPr>
      <w:r>
        <w:rPr>
          <w:rFonts w:hint="eastAsia" w:ascii="宋体" w:hAnsi="宋体" w:eastAsia="宋体" w:cs="宋体"/>
          <w:bCs/>
          <w:color w:val="auto"/>
          <w:sz w:val="28"/>
          <w:szCs w:val="28"/>
          <w:lang w:val="zh-CN"/>
        </w:rPr>
        <w:fldChar w:fldCharType="begin"/>
      </w:r>
      <w:r>
        <w:rPr>
          <w:rFonts w:hint="eastAsia" w:ascii="宋体" w:hAnsi="宋体" w:eastAsia="宋体" w:cs="宋体"/>
          <w:bCs/>
          <w:color w:val="auto"/>
          <w:sz w:val="28"/>
          <w:szCs w:val="28"/>
          <w:lang w:val="zh-CN"/>
        </w:rPr>
        <w:instrText xml:space="preserve"> HYPERLINK \l _Toc31443 </w:instrText>
      </w:r>
      <w:r>
        <w:rPr>
          <w:rFonts w:hint="eastAsia" w:ascii="宋体" w:hAnsi="宋体" w:eastAsia="宋体" w:cs="宋体"/>
          <w:bCs/>
          <w:color w:val="auto"/>
          <w:sz w:val="28"/>
          <w:szCs w:val="28"/>
          <w:lang w:val="zh-CN"/>
        </w:rPr>
        <w:fldChar w:fldCharType="separate"/>
      </w:r>
      <w:r>
        <w:rPr>
          <w:rFonts w:hint="eastAsia" w:ascii="宋体" w:hAnsi="宋体" w:eastAsia="宋体" w:cs="宋体"/>
          <w:color w:val="auto"/>
          <w:sz w:val="28"/>
          <w:szCs w:val="36"/>
        </w:rPr>
        <w:t>2.1 货拉拉企业简介</w:t>
      </w:r>
      <w:r>
        <w:rPr>
          <w:rFonts w:hint="eastAsia" w:ascii="宋体" w:hAnsi="宋体" w:eastAsia="宋体" w:cs="宋体"/>
          <w:color w:val="auto"/>
          <w:sz w:val="28"/>
          <w:szCs w:val="28"/>
        </w:rPr>
        <w:tab/>
      </w: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PAGEREF _Toc31443 \h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3</w:t>
      </w:r>
      <w:r>
        <w:rPr>
          <w:rFonts w:hint="eastAsia" w:ascii="宋体" w:hAnsi="宋体" w:eastAsia="宋体" w:cs="宋体"/>
          <w:color w:val="auto"/>
          <w:sz w:val="28"/>
          <w:szCs w:val="28"/>
        </w:rPr>
        <w:fldChar w:fldCharType="end"/>
      </w:r>
      <w:r>
        <w:rPr>
          <w:rFonts w:hint="eastAsia" w:ascii="宋体" w:hAnsi="宋体" w:eastAsia="宋体" w:cs="宋体"/>
          <w:bCs/>
          <w:color w:val="auto"/>
          <w:sz w:val="28"/>
          <w:szCs w:val="28"/>
          <w:lang w:val="zh-CN"/>
        </w:rPr>
        <w:fldChar w:fldCharType="end"/>
      </w:r>
    </w:p>
    <w:p w14:paraId="6177735B">
      <w:pPr>
        <w:pStyle w:val="9"/>
        <w:tabs>
          <w:tab w:val="right" w:leader="dot" w:pos="8788"/>
        </w:tabs>
        <w:rPr>
          <w:rFonts w:hint="eastAsia" w:ascii="宋体" w:hAnsi="宋体" w:eastAsia="宋体" w:cs="宋体"/>
          <w:color w:val="auto"/>
          <w:sz w:val="28"/>
          <w:szCs w:val="28"/>
        </w:rPr>
      </w:pPr>
      <w:r>
        <w:rPr>
          <w:rFonts w:hint="eastAsia" w:ascii="宋体" w:hAnsi="宋体" w:eastAsia="宋体" w:cs="宋体"/>
          <w:bCs/>
          <w:color w:val="auto"/>
          <w:sz w:val="28"/>
          <w:szCs w:val="28"/>
          <w:lang w:val="zh-CN"/>
        </w:rPr>
        <w:fldChar w:fldCharType="begin"/>
      </w:r>
      <w:r>
        <w:rPr>
          <w:rFonts w:hint="eastAsia" w:ascii="宋体" w:hAnsi="宋体" w:eastAsia="宋体" w:cs="宋体"/>
          <w:bCs/>
          <w:color w:val="auto"/>
          <w:sz w:val="28"/>
          <w:szCs w:val="28"/>
          <w:lang w:val="zh-CN"/>
        </w:rPr>
        <w:instrText xml:space="preserve"> HYPERLINK \l _Toc12248 </w:instrText>
      </w:r>
      <w:r>
        <w:rPr>
          <w:rFonts w:hint="eastAsia" w:ascii="宋体" w:hAnsi="宋体" w:eastAsia="宋体" w:cs="宋体"/>
          <w:bCs/>
          <w:color w:val="auto"/>
          <w:sz w:val="28"/>
          <w:szCs w:val="28"/>
          <w:lang w:val="zh-CN"/>
        </w:rPr>
        <w:fldChar w:fldCharType="separate"/>
      </w:r>
      <w:r>
        <w:rPr>
          <w:rFonts w:hint="eastAsia" w:ascii="宋体" w:hAnsi="宋体" w:eastAsia="宋体" w:cs="宋体"/>
          <w:color w:val="auto"/>
          <w:sz w:val="28"/>
          <w:szCs w:val="36"/>
        </w:rPr>
        <w:t>2.2 货拉拉物流配送及服务现状</w:t>
      </w:r>
      <w:r>
        <w:rPr>
          <w:rFonts w:hint="eastAsia" w:ascii="宋体" w:hAnsi="宋体" w:eastAsia="宋体" w:cs="宋体"/>
          <w:color w:val="auto"/>
          <w:sz w:val="28"/>
          <w:szCs w:val="28"/>
        </w:rPr>
        <w:tab/>
      </w: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PAGEREF _Toc12248 \h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3</w:t>
      </w:r>
      <w:r>
        <w:rPr>
          <w:rFonts w:hint="eastAsia" w:ascii="宋体" w:hAnsi="宋体" w:eastAsia="宋体" w:cs="宋体"/>
          <w:color w:val="auto"/>
          <w:sz w:val="28"/>
          <w:szCs w:val="28"/>
        </w:rPr>
        <w:fldChar w:fldCharType="end"/>
      </w:r>
      <w:r>
        <w:rPr>
          <w:rFonts w:hint="eastAsia" w:ascii="宋体" w:hAnsi="宋体" w:eastAsia="宋体" w:cs="宋体"/>
          <w:bCs/>
          <w:color w:val="auto"/>
          <w:sz w:val="28"/>
          <w:szCs w:val="28"/>
          <w:lang w:val="zh-CN"/>
        </w:rPr>
        <w:fldChar w:fldCharType="end"/>
      </w:r>
    </w:p>
    <w:p w14:paraId="7C1AEB24">
      <w:pPr>
        <w:pStyle w:val="9"/>
        <w:tabs>
          <w:tab w:val="right" w:leader="dot" w:pos="8788"/>
        </w:tabs>
        <w:rPr>
          <w:rFonts w:hint="eastAsia" w:ascii="宋体" w:hAnsi="宋体" w:eastAsia="宋体" w:cs="宋体"/>
          <w:color w:val="auto"/>
          <w:sz w:val="28"/>
          <w:szCs w:val="28"/>
        </w:rPr>
      </w:pPr>
      <w:r>
        <w:rPr>
          <w:rFonts w:hint="eastAsia" w:ascii="宋体" w:hAnsi="宋体" w:eastAsia="宋体" w:cs="宋体"/>
          <w:bCs/>
          <w:color w:val="auto"/>
          <w:sz w:val="28"/>
          <w:szCs w:val="28"/>
          <w:lang w:val="zh-CN"/>
        </w:rPr>
        <w:fldChar w:fldCharType="begin"/>
      </w:r>
      <w:r>
        <w:rPr>
          <w:rFonts w:hint="eastAsia" w:ascii="宋体" w:hAnsi="宋体" w:eastAsia="宋体" w:cs="宋体"/>
          <w:bCs/>
          <w:color w:val="auto"/>
          <w:sz w:val="28"/>
          <w:szCs w:val="28"/>
          <w:lang w:val="zh-CN"/>
        </w:rPr>
        <w:instrText xml:space="preserve"> HYPERLINK \l _Toc29537 </w:instrText>
      </w:r>
      <w:r>
        <w:rPr>
          <w:rFonts w:hint="eastAsia" w:ascii="宋体" w:hAnsi="宋体" w:eastAsia="宋体" w:cs="宋体"/>
          <w:bCs/>
          <w:color w:val="auto"/>
          <w:sz w:val="28"/>
          <w:szCs w:val="28"/>
          <w:lang w:val="zh-CN"/>
        </w:rPr>
        <w:fldChar w:fldCharType="separate"/>
      </w:r>
      <w:r>
        <w:rPr>
          <w:rFonts w:hint="eastAsia" w:ascii="宋体" w:hAnsi="宋体" w:eastAsia="宋体" w:cs="宋体"/>
          <w:color w:val="auto"/>
          <w:sz w:val="28"/>
          <w:szCs w:val="36"/>
        </w:rPr>
        <w:t>2.3 货拉拉物流配送及服务存在的问题及原因分析</w:t>
      </w:r>
      <w:r>
        <w:rPr>
          <w:rFonts w:hint="eastAsia" w:ascii="宋体" w:hAnsi="宋体" w:eastAsia="宋体" w:cs="宋体"/>
          <w:color w:val="auto"/>
          <w:sz w:val="28"/>
          <w:szCs w:val="28"/>
        </w:rPr>
        <w:tab/>
      </w: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PAGEREF _Toc29537 \h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3</w:t>
      </w:r>
      <w:r>
        <w:rPr>
          <w:rFonts w:hint="eastAsia" w:ascii="宋体" w:hAnsi="宋体" w:eastAsia="宋体" w:cs="宋体"/>
          <w:color w:val="auto"/>
          <w:sz w:val="28"/>
          <w:szCs w:val="28"/>
        </w:rPr>
        <w:fldChar w:fldCharType="end"/>
      </w:r>
      <w:r>
        <w:rPr>
          <w:rFonts w:hint="eastAsia" w:ascii="宋体" w:hAnsi="宋体" w:eastAsia="宋体" w:cs="宋体"/>
          <w:bCs/>
          <w:color w:val="auto"/>
          <w:sz w:val="28"/>
          <w:szCs w:val="28"/>
          <w:lang w:val="zh-CN"/>
        </w:rPr>
        <w:fldChar w:fldCharType="end"/>
      </w:r>
    </w:p>
    <w:p w14:paraId="4D820982">
      <w:pPr>
        <w:pStyle w:val="8"/>
        <w:tabs>
          <w:tab w:val="right" w:leader="dot" w:pos="8788"/>
        </w:tabs>
        <w:rPr>
          <w:rFonts w:hint="eastAsia" w:ascii="宋体" w:hAnsi="宋体" w:eastAsia="宋体" w:cs="宋体"/>
          <w:color w:val="auto"/>
          <w:sz w:val="28"/>
          <w:szCs w:val="28"/>
        </w:rPr>
      </w:pPr>
      <w:r>
        <w:rPr>
          <w:rFonts w:hint="eastAsia" w:ascii="宋体" w:hAnsi="宋体" w:eastAsia="宋体" w:cs="宋体"/>
          <w:bCs/>
          <w:color w:val="auto"/>
          <w:sz w:val="28"/>
          <w:szCs w:val="28"/>
          <w:lang w:val="zh-CN"/>
        </w:rPr>
        <w:fldChar w:fldCharType="begin"/>
      </w:r>
      <w:r>
        <w:rPr>
          <w:rFonts w:hint="eastAsia" w:ascii="宋体" w:hAnsi="宋体" w:eastAsia="宋体" w:cs="宋体"/>
          <w:bCs/>
          <w:color w:val="auto"/>
          <w:sz w:val="28"/>
          <w:szCs w:val="28"/>
          <w:lang w:val="zh-CN"/>
        </w:rPr>
        <w:instrText xml:space="preserve"> HYPERLINK \l _Toc6124 </w:instrText>
      </w:r>
      <w:r>
        <w:rPr>
          <w:rFonts w:hint="eastAsia" w:ascii="宋体" w:hAnsi="宋体" w:eastAsia="宋体" w:cs="宋体"/>
          <w:bCs/>
          <w:color w:val="auto"/>
          <w:sz w:val="28"/>
          <w:szCs w:val="28"/>
          <w:lang w:val="zh-CN"/>
        </w:rPr>
        <w:fldChar w:fldCharType="separate"/>
      </w:r>
      <w:r>
        <w:rPr>
          <w:rFonts w:hint="eastAsia" w:ascii="宋体" w:hAnsi="宋体" w:eastAsia="宋体" w:cs="宋体"/>
          <w:bCs w:val="0"/>
          <w:color w:val="auto"/>
          <w:sz w:val="28"/>
          <w:szCs w:val="36"/>
        </w:rPr>
        <w:t>第三章 货拉拉物流配送及服务创新方案</w:t>
      </w:r>
      <w:r>
        <w:rPr>
          <w:rFonts w:hint="eastAsia" w:ascii="宋体" w:hAnsi="宋体" w:eastAsia="宋体" w:cs="宋体"/>
          <w:color w:val="auto"/>
          <w:sz w:val="28"/>
          <w:szCs w:val="28"/>
        </w:rPr>
        <w:tab/>
      </w: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PAGEREF _Toc6124 \h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6</w:t>
      </w:r>
      <w:r>
        <w:rPr>
          <w:rFonts w:hint="eastAsia" w:ascii="宋体" w:hAnsi="宋体" w:eastAsia="宋体" w:cs="宋体"/>
          <w:color w:val="auto"/>
          <w:sz w:val="28"/>
          <w:szCs w:val="28"/>
        </w:rPr>
        <w:fldChar w:fldCharType="end"/>
      </w:r>
      <w:r>
        <w:rPr>
          <w:rFonts w:hint="eastAsia" w:ascii="宋体" w:hAnsi="宋体" w:eastAsia="宋体" w:cs="宋体"/>
          <w:bCs/>
          <w:color w:val="auto"/>
          <w:sz w:val="28"/>
          <w:szCs w:val="28"/>
          <w:lang w:val="zh-CN"/>
        </w:rPr>
        <w:fldChar w:fldCharType="end"/>
      </w:r>
    </w:p>
    <w:p w14:paraId="7918247D">
      <w:pPr>
        <w:pStyle w:val="9"/>
        <w:tabs>
          <w:tab w:val="right" w:leader="dot" w:pos="8788"/>
        </w:tabs>
        <w:rPr>
          <w:rFonts w:hint="eastAsia" w:ascii="宋体" w:hAnsi="宋体" w:eastAsia="宋体" w:cs="宋体"/>
          <w:color w:val="auto"/>
          <w:sz w:val="28"/>
          <w:szCs w:val="28"/>
        </w:rPr>
      </w:pPr>
      <w:r>
        <w:rPr>
          <w:rFonts w:hint="eastAsia" w:ascii="宋体" w:hAnsi="宋体" w:eastAsia="宋体" w:cs="宋体"/>
          <w:bCs/>
          <w:color w:val="auto"/>
          <w:sz w:val="28"/>
          <w:szCs w:val="28"/>
          <w:lang w:val="zh-CN"/>
        </w:rPr>
        <w:fldChar w:fldCharType="begin"/>
      </w:r>
      <w:r>
        <w:rPr>
          <w:rFonts w:hint="eastAsia" w:ascii="宋体" w:hAnsi="宋体" w:eastAsia="宋体" w:cs="宋体"/>
          <w:bCs/>
          <w:color w:val="auto"/>
          <w:sz w:val="28"/>
          <w:szCs w:val="28"/>
          <w:lang w:val="zh-CN"/>
        </w:rPr>
        <w:instrText xml:space="preserve"> HYPERLINK \l _Toc22539 </w:instrText>
      </w:r>
      <w:r>
        <w:rPr>
          <w:rFonts w:hint="eastAsia" w:ascii="宋体" w:hAnsi="宋体" w:eastAsia="宋体" w:cs="宋体"/>
          <w:bCs/>
          <w:color w:val="auto"/>
          <w:sz w:val="28"/>
          <w:szCs w:val="28"/>
          <w:lang w:val="zh-CN"/>
        </w:rPr>
        <w:fldChar w:fldCharType="separate"/>
      </w:r>
      <w:r>
        <w:rPr>
          <w:rFonts w:hint="eastAsia" w:ascii="宋体" w:hAnsi="宋体" w:eastAsia="宋体" w:cs="宋体"/>
          <w:color w:val="auto"/>
          <w:sz w:val="28"/>
          <w:szCs w:val="36"/>
        </w:rPr>
        <w:t>3.1 构建智能化配送网络</w:t>
      </w:r>
      <w:r>
        <w:rPr>
          <w:rFonts w:hint="eastAsia" w:ascii="宋体" w:hAnsi="宋体" w:eastAsia="宋体" w:cs="宋体"/>
          <w:color w:val="auto"/>
          <w:sz w:val="28"/>
          <w:szCs w:val="28"/>
        </w:rPr>
        <w:tab/>
      </w: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PAGEREF _Toc22539 \h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6</w:t>
      </w:r>
      <w:r>
        <w:rPr>
          <w:rFonts w:hint="eastAsia" w:ascii="宋体" w:hAnsi="宋体" w:eastAsia="宋体" w:cs="宋体"/>
          <w:color w:val="auto"/>
          <w:sz w:val="28"/>
          <w:szCs w:val="28"/>
        </w:rPr>
        <w:fldChar w:fldCharType="end"/>
      </w:r>
      <w:r>
        <w:rPr>
          <w:rFonts w:hint="eastAsia" w:ascii="宋体" w:hAnsi="宋体" w:eastAsia="宋体" w:cs="宋体"/>
          <w:bCs/>
          <w:color w:val="auto"/>
          <w:sz w:val="28"/>
          <w:szCs w:val="28"/>
          <w:lang w:val="zh-CN"/>
        </w:rPr>
        <w:fldChar w:fldCharType="end"/>
      </w:r>
    </w:p>
    <w:p w14:paraId="3385BFC1">
      <w:pPr>
        <w:pStyle w:val="9"/>
        <w:tabs>
          <w:tab w:val="right" w:leader="dot" w:pos="8788"/>
        </w:tabs>
        <w:rPr>
          <w:rFonts w:hint="eastAsia" w:ascii="宋体" w:hAnsi="宋体" w:eastAsia="宋体" w:cs="宋体"/>
          <w:color w:val="auto"/>
          <w:sz w:val="28"/>
          <w:szCs w:val="28"/>
        </w:rPr>
      </w:pPr>
      <w:r>
        <w:rPr>
          <w:rFonts w:hint="eastAsia" w:ascii="宋体" w:hAnsi="宋体" w:eastAsia="宋体" w:cs="宋体"/>
          <w:bCs/>
          <w:color w:val="auto"/>
          <w:sz w:val="28"/>
          <w:szCs w:val="28"/>
          <w:lang w:val="zh-CN"/>
        </w:rPr>
        <w:fldChar w:fldCharType="begin"/>
      </w:r>
      <w:r>
        <w:rPr>
          <w:rFonts w:hint="eastAsia" w:ascii="宋体" w:hAnsi="宋体" w:eastAsia="宋体" w:cs="宋体"/>
          <w:bCs/>
          <w:color w:val="auto"/>
          <w:sz w:val="28"/>
          <w:szCs w:val="28"/>
          <w:lang w:val="zh-CN"/>
        </w:rPr>
        <w:instrText xml:space="preserve"> HYPERLINK \l _Toc23772 </w:instrText>
      </w:r>
      <w:r>
        <w:rPr>
          <w:rFonts w:hint="eastAsia" w:ascii="宋体" w:hAnsi="宋体" w:eastAsia="宋体" w:cs="宋体"/>
          <w:bCs/>
          <w:color w:val="auto"/>
          <w:sz w:val="28"/>
          <w:szCs w:val="28"/>
          <w:lang w:val="zh-CN"/>
        </w:rPr>
        <w:fldChar w:fldCharType="separate"/>
      </w:r>
      <w:r>
        <w:rPr>
          <w:rFonts w:hint="eastAsia" w:ascii="宋体" w:hAnsi="宋体" w:eastAsia="宋体" w:cs="宋体"/>
          <w:color w:val="auto"/>
          <w:sz w:val="28"/>
          <w:szCs w:val="36"/>
        </w:rPr>
        <w:t>3.2 大数据驱动的精准服务</w:t>
      </w:r>
      <w:r>
        <w:rPr>
          <w:rFonts w:hint="eastAsia" w:ascii="宋体" w:hAnsi="宋体" w:eastAsia="宋体" w:cs="宋体"/>
          <w:color w:val="auto"/>
          <w:sz w:val="28"/>
          <w:szCs w:val="28"/>
        </w:rPr>
        <w:tab/>
      </w: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PAGEREF _Toc23772 \h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6</w:t>
      </w:r>
      <w:r>
        <w:rPr>
          <w:rFonts w:hint="eastAsia" w:ascii="宋体" w:hAnsi="宋体" w:eastAsia="宋体" w:cs="宋体"/>
          <w:color w:val="auto"/>
          <w:sz w:val="28"/>
          <w:szCs w:val="28"/>
        </w:rPr>
        <w:fldChar w:fldCharType="end"/>
      </w:r>
      <w:r>
        <w:rPr>
          <w:rFonts w:hint="eastAsia" w:ascii="宋体" w:hAnsi="宋体" w:eastAsia="宋体" w:cs="宋体"/>
          <w:bCs/>
          <w:color w:val="auto"/>
          <w:sz w:val="28"/>
          <w:szCs w:val="28"/>
          <w:lang w:val="zh-CN"/>
        </w:rPr>
        <w:fldChar w:fldCharType="end"/>
      </w:r>
    </w:p>
    <w:p w14:paraId="47309472">
      <w:pPr>
        <w:pStyle w:val="9"/>
        <w:tabs>
          <w:tab w:val="right" w:leader="dot" w:pos="8788"/>
        </w:tabs>
        <w:rPr>
          <w:rFonts w:hint="eastAsia" w:ascii="宋体" w:hAnsi="宋体" w:eastAsia="宋体" w:cs="宋体"/>
          <w:color w:val="auto"/>
          <w:sz w:val="28"/>
          <w:szCs w:val="28"/>
        </w:rPr>
      </w:pPr>
      <w:r>
        <w:rPr>
          <w:rFonts w:hint="eastAsia" w:ascii="宋体" w:hAnsi="宋体" w:eastAsia="宋体" w:cs="宋体"/>
          <w:bCs/>
          <w:color w:val="auto"/>
          <w:sz w:val="28"/>
          <w:szCs w:val="28"/>
          <w:lang w:val="zh-CN"/>
        </w:rPr>
        <w:fldChar w:fldCharType="begin"/>
      </w:r>
      <w:r>
        <w:rPr>
          <w:rFonts w:hint="eastAsia" w:ascii="宋体" w:hAnsi="宋体" w:eastAsia="宋体" w:cs="宋体"/>
          <w:bCs/>
          <w:color w:val="auto"/>
          <w:sz w:val="28"/>
          <w:szCs w:val="28"/>
          <w:lang w:val="zh-CN"/>
        </w:rPr>
        <w:instrText xml:space="preserve"> HYPERLINK \l _Toc21392 </w:instrText>
      </w:r>
      <w:r>
        <w:rPr>
          <w:rFonts w:hint="eastAsia" w:ascii="宋体" w:hAnsi="宋体" w:eastAsia="宋体" w:cs="宋体"/>
          <w:bCs/>
          <w:color w:val="auto"/>
          <w:sz w:val="28"/>
          <w:szCs w:val="28"/>
          <w:lang w:val="zh-CN"/>
        </w:rPr>
        <w:fldChar w:fldCharType="separate"/>
      </w:r>
      <w:r>
        <w:rPr>
          <w:rFonts w:hint="eastAsia" w:ascii="宋体" w:hAnsi="宋体" w:eastAsia="宋体" w:cs="宋体"/>
          <w:color w:val="auto"/>
          <w:sz w:val="28"/>
          <w:szCs w:val="36"/>
        </w:rPr>
        <w:t>3.3 提升客户体验</w:t>
      </w:r>
      <w:r>
        <w:rPr>
          <w:rFonts w:hint="eastAsia" w:ascii="宋体" w:hAnsi="宋体" w:eastAsia="宋体" w:cs="宋体"/>
          <w:color w:val="auto"/>
          <w:sz w:val="28"/>
          <w:szCs w:val="28"/>
        </w:rPr>
        <w:tab/>
      </w: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PAGEREF _Toc21392 \h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7</w:t>
      </w:r>
      <w:r>
        <w:rPr>
          <w:rFonts w:hint="eastAsia" w:ascii="宋体" w:hAnsi="宋体" w:eastAsia="宋体" w:cs="宋体"/>
          <w:color w:val="auto"/>
          <w:sz w:val="28"/>
          <w:szCs w:val="28"/>
        </w:rPr>
        <w:fldChar w:fldCharType="end"/>
      </w:r>
      <w:r>
        <w:rPr>
          <w:rFonts w:hint="eastAsia" w:ascii="宋体" w:hAnsi="宋体" w:eastAsia="宋体" w:cs="宋体"/>
          <w:bCs/>
          <w:color w:val="auto"/>
          <w:sz w:val="28"/>
          <w:szCs w:val="28"/>
          <w:lang w:val="zh-CN"/>
        </w:rPr>
        <w:fldChar w:fldCharType="end"/>
      </w:r>
    </w:p>
    <w:p w14:paraId="18773B92">
      <w:pPr>
        <w:pStyle w:val="8"/>
        <w:tabs>
          <w:tab w:val="right" w:leader="dot" w:pos="8788"/>
        </w:tabs>
        <w:rPr>
          <w:rFonts w:hint="eastAsia" w:ascii="宋体" w:hAnsi="宋体" w:eastAsia="宋体" w:cs="宋体"/>
          <w:color w:val="auto"/>
          <w:sz w:val="28"/>
          <w:szCs w:val="28"/>
        </w:rPr>
      </w:pPr>
      <w:r>
        <w:rPr>
          <w:rFonts w:hint="eastAsia" w:ascii="宋体" w:hAnsi="宋体" w:eastAsia="宋体" w:cs="宋体"/>
          <w:bCs/>
          <w:color w:val="auto"/>
          <w:sz w:val="28"/>
          <w:szCs w:val="28"/>
          <w:lang w:val="zh-CN"/>
        </w:rPr>
        <w:fldChar w:fldCharType="begin"/>
      </w:r>
      <w:r>
        <w:rPr>
          <w:rFonts w:hint="eastAsia" w:ascii="宋体" w:hAnsi="宋体" w:eastAsia="宋体" w:cs="宋体"/>
          <w:bCs/>
          <w:color w:val="auto"/>
          <w:sz w:val="28"/>
          <w:szCs w:val="28"/>
          <w:lang w:val="zh-CN"/>
        </w:rPr>
        <w:instrText xml:space="preserve"> HYPERLINK \l _Toc8685 </w:instrText>
      </w:r>
      <w:r>
        <w:rPr>
          <w:rFonts w:hint="eastAsia" w:ascii="宋体" w:hAnsi="宋体" w:eastAsia="宋体" w:cs="宋体"/>
          <w:bCs/>
          <w:color w:val="auto"/>
          <w:sz w:val="28"/>
          <w:szCs w:val="28"/>
          <w:lang w:val="zh-CN"/>
        </w:rPr>
        <w:fldChar w:fldCharType="separate"/>
      </w:r>
      <w:r>
        <w:rPr>
          <w:rFonts w:hint="eastAsia" w:ascii="宋体" w:hAnsi="宋体" w:eastAsia="宋体" w:cs="宋体"/>
          <w:bCs w:val="0"/>
          <w:color w:val="auto"/>
          <w:sz w:val="28"/>
          <w:szCs w:val="36"/>
        </w:rPr>
        <w:t>第四章 货拉拉物流配送及服务创新的实施策略</w:t>
      </w:r>
      <w:r>
        <w:rPr>
          <w:rFonts w:hint="eastAsia" w:ascii="宋体" w:hAnsi="宋体" w:eastAsia="宋体" w:cs="宋体"/>
          <w:color w:val="auto"/>
          <w:sz w:val="28"/>
          <w:szCs w:val="28"/>
        </w:rPr>
        <w:tab/>
      </w: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PAGEREF _Toc8685 \h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8</w:t>
      </w:r>
      <w:r>
        <w:rPr>
          <w:rFonts w:hint="eastAsia" w:ascii="宋体" w:hAnsi="宋体" w:eastAsia="宋体" w:cs="宋体"/>
          <w:color w:val="auto"/>
          <w:sz w:val="28"/>
          <w:szCs w:val="28"/>
        </w:rPr>
        <w:fldChar w:fldCharType="end"/>
      </w:r>
      <w:r>
        <w:rPr>
          <w:rFonts w:hint="eastAsia" w:ascii="宋体" w:hAnsi="宋体" w:eastAsia="宋体" w:cs="宋体"/>
          <w:bCs/>
          <w:color w:val="auto"/>
          <w:sz w:val="28"/>
          <w:szCs w:val="28"/>
          <w:lang w:val="zh-CN"/>
        </w:rPr>
        <w:fldChar w:fldCharType="end"/>
      </w:r>
    </w:p>
    <w:p w14:paraId="69E954B0">
      <w:pPr>
        <w:pStyle w:val="9"/>
        <w:tabs>
          <w:tab w:val="right" w:leader="dot" w:pos="8788"/>
        </w:tabs>
        <w:rPr>
          <w:rFonts w:hint="eastAsia" w:ascii="宋体" w:hAnsi="宋体" w:eastAsia="宋体" w:cs="宋体"/>
          <w:color w:val="auto"/>
          <w:sz w:val="28"/>
          <w:szCs w:val="28"/>
        </w:rPr>
      </w:pPr>
      <w:r>
        <w:rPr>
          <w:rFonts w:hint="eastAsia" w:ascii="宋体" w:hAnsi="宋体" w:eastAsia="宋体" w:cs="宋体"/>
          <w:bCs/>
          <w:color w:val="auto"/>
          <w:sz w:val="28"/>
          <w:szCs w:val="28"/>
          <w:lang w:val="zh-CN"/>
        </w:rPr>
        <w:fldChar w:fldCharType="begin"/>
      </w:r>
      <w:r>
        <w:rPr>
          <w:rFonts w:hint="eastAsia" w:ascii="宋体" w:hAnsi="宋体" w:eastAsia="宋体" w:cs="宋体"/>
          <w:bCs/>
          <w:color w:val="auto"/>
          <w:sz w:val="28"/>
          <w:szCs w:val="28"/>
          <w:lang w:val="zh-CN"/>
        </w:rPr>
        <w:instrText xml:space="preserve"> HYPERLINK \l _Toc6555 </w:instrText>
      </w:r>
      <w:r>
        <w:rPr>
          <w:rFonts w:hint="eastAsia" w:ascii="宋体" w:hAnsi="宋体" w:eastAsia="宋体" w:cs="宋体"/>
          <w:bCs/>
          <w:color w:val="auto"/>
          <w:sz w:val="28"/>
          <w:szCs w:val="28"/>
          <w:lang w:val="zh-CN"/>
        </w:rPr>
        <w:fldChar w:fldCharType="separate"/>
      </w:r>
      <w:r>
        <w:rPr>
          <w:rFonts w:hint="eastAsia" w:ascii="宋体" w:hAnsi="宋体" w:eastAsia="宋体" w:cs="宋体"/>
          <w:color w:val="auto"/>
          <w:sz w:val="28"/>
          <w:szCs w:val="36"/>
        </w:rPr>
        <w:t>4.1 技术支持</w:t>
      </w:r>
      <w:r>
        <w:rPr>
          <w:rFonts w:hint="eastAsia" w:ascii="宋体" w:hAnsi="宋体" w:eastAsia="宋体" w:cs="宋体"/>
          <w:color w:val="auto"/>
          <w:sz w:val="28"/>
          <w:szCs w:val="28"/>
        </w:rPr>
        <w:tab/>
      </w: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PAGEREF _Toc6555 \h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8</w:t>
      </w:r>
      <w:r>
        <w:rPr>
          <w:rFonts w:hint="eastAsia" w:ascii="宋体" w:hAnsi="宋体" w:eastAsia="宋体" w:cs="宋体"/>
          <w:color w:val="auto"/>
          <w:sz w:val="28"/>
          <w:szCs w:val="28"/>
        </w:rPr>
        <w:fldChar w:fldCharType="end"/>
      </w:r>
      <w:r>
        <w:rPr>
          <w:rFonts w:hint="eastAsia" w:ascii="宋体" w:hAnsi="宋体" w:eastAsia="宋体" w:cs="宋体"/>
          <w:bCs/>
          <w:color w:val="auto"/>
          <w:sz w:val="28"/>
          <w:szCs w:val="28"/>
          <w:lang w:val="zh-CN"/>
        </w:rPr>
        <w:fldChar w:fldCharType="end"/>
      </w:r>
    </w:p>
    <w:p w14:paraId="46404DB4">
      <w:pPr>
        <w:pStyle w:val="9"/>
        <w:tabs>
          <w:tab w:val="right" w:leader="dot" w:pos="8788"/>
        </w:tabs>
        <w:rPr>
          <w:rFonts w:hint="eastAsia" w:ascii="宋体" w:hAnsi="宋体" w:eastAsia="宋体" w:cs="宋体"/>
          <w:color w:val="auto"/>
          <w:sz w:val="28"/>
          <w:szCs w:val="28"/>
        </w:rPr>
      </w:pPr>
      <w:r>
        <w:rPr>
          <w:rFonts w:hint="eastAsia" w:ascii="宋体" w:hAnsi="宋体" w:eastAsia="宋体" w:cs="宋体"/>
          <w:bCs/>
          <w:color w:val="auto"/>
          <w:sz w:val="28"/>
          <w:szCs w:val="28"/>
          <w:lang w:val="zh-CN"/>
        </w:rPr>
        <w:fldChar w:fldCharType="begin"/>
      </w:r>
      <w:r>
        <w:rPr>
          <w:rFonts w:hint="eastAsia" w:ascii="宋体" w:hAnsi="宋体" w:eastAsia="宋体" w:cs="宋体"/>
          <w:bCs/>
          <w:color w:val="auto"/>
          <w:sz w:val="28"/>
          <w:szCs w:val="28"/>
          <w:lang w:val="zh-CN"/>
        </w:rPr>
        <w:instrText xml:space="preserve"> HYPERLINK \l _Toc23473 </w:instrText>
      </w:r>
      <w:r>
        <w:rPr>
          <w:rFonts w:hint="eastAsia" w:ascii="宋体" w:hAnsi="宋体" w:eastAsia="宋体" w:cs="宋体"/>
          <w:bCs/>
          <w:color w:val="auto"/>
          <w:sz w:val="28"/>
          <w:szCs w:val="28"/>
          <w:lang w:val="zh-CN"/>
        </w:rPr>
        <w:fldChar w:fldCharType="separate"/>
      </w:r>
      <w:r>
        <w:rPr>
          <w:rFonts w:hint="eastAsia" w:ascii="宋体" w:hAnsi="宋体" w:eastAsia="宋体" w:cs="宋体"/>
          <w:color w:val="auto"/>
          <w:sz w:val="28"/>
          <w:szCs w:val="36"/>
        </w:rPr>
        <w:t>4.2 人才培养</w:t>
      </w:r>
      <w:r>
        <w:rPr>
          <w:rFonts w:hint="eastAsia" w:ascii="宋体" w:hAnsi="宋体" w:eastAsia="宋体" w:cs="宋体"/>
          <w:color w:val="auto"/>
          <w:sz w:val="28"/>
          <w:szCs w:val="28"/>
        </w:rPr>
        <w:tab/>
      </w: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PAGEREF _Toc23473 \h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8</w:t>
      </w:r>
      <w:r>
        <w:rPr>
          <w:rFonts w:hint="eastAsia" w:ascii="宋体" w:hAnsi="宋体" w:eastAsia="宋体" w:cs="宋体"/>
          <w:color w:val="auto"/>
          <w:sz w:val="28"/>
          <w:szCs w:val="28"/>
        </w:rPr>
        <w:fldChar w:fldCharType="end"/>
      </w:r>
      <w:r>
        <w:rPr>
          <w:rFonts w:hint="eastAsia" w:ascii="宋体" w:hAnsi="宋体" w:eastAsia="宋体" w:cs="宋体"/>
          <w:bCs/>
          <w:color w:val="auto"/>
          <w:sz w:val="28"/>
          <w:szCs w:val="28"/>
          <w:lang w:val="zh-CN"/>
        </w:rPr>
        <w:fldChar w:fldCharType="end"/>
      </w:r>
    </w:p>
    <w:p w14:paraId="6B332225">
      <w:pPr>
        <w:pStyle w:val="9"/>
        <w:tabs>
          <w:tab w:val="right" w:leader="dot" w:pos="8788"/>
        </w:tabs>
        <w:rPr>
          <w:rFonts w:hint="eastAsia" w:ascii="宋体" w:hAnsi="宋体" w:eastAsia="宋体" w:cs="宋体"/>
          <w:color w:val="auto"/>
          <w:sz w:val="28"/>
          <w:szCs w:val="28"/>
        </w:rPr>
      </w:pPr>
      <w:r>
        <w:rPr>
          <w:rFonts w:hint="eastAsia" w:ascii="宋体" w:hAnsi="宋体" w:eastAsia="宋体" w:cs="宋体"/>
          <w:bCs/>
          <w:color w:val="auto"/>
          <w:sz w:val="28"/>
          <w:szCs w:val="28"/>
          <w:lang w:val="zh-CN"/>
        </w:rPr>
        <w:fldChar w:fldCharType="begin"/>
      </w:r>
      <w:r>
        <w:rPr>
          <w:rFonts w:hint="eastAsia" w:ascii="宋体" w:hAnsi="宋体" w:eastAsia="宋体" w:cs="宋体"/>
          <w:bCs/>
          <w:color w:val="auto"/>
          <w:sz w:val="28"/>
          <w:szCs w:val="28"/>
          <w:lang w:val="zh-CN"/>
        </w:rPr>
        <w:instrText xml:space="preserve"> HYPERLINK \l _Toc26048 </w:instrText>
      </w:r>
      <w:r>
        <w:rPr>
          <w:rFonts w:hint="eastAsia" w:ascii="宋体" w:hAnsi="宋体" w:eastAsia="宋体" w:cs="宋体"/>
          <w:bCs/>
          <w:color w:val="auto"/>
          <w:sz w:val="28"/>
          <w:szCs w:val="28"/>
          <w:lang w:val="zh-CN"/>
        </w:rPr>
        <w:fldChar w:fldCharType="separate"/>
      </w:r>
      <w:r>
        <w:rPr>
          <w:rFonts w:hint="eastAsia" w:ascii="宋体" w:hAnsi="宋体" w:eastAsia="宋体" w:cs="宋体"/>
          <w:color w:val="auto"/>
          <w:sz w:val="28"/>
          <w:szCs w:val="36"/>
        </w:rPr>
        <w:t>4.3 合作与联盟</w:t>
      </w:r>
      <w:r>
        <w:rPr>
          <w:rFonts w:hint="eastAsia" w:ascii="宋体" w:hAnsi="宋体" w:eastAsia="宋体" w:cs="宋体"/>
          <w:color w:val="auto"/>
          <w:sz w:val="28"/>
          <w:szCs w:val="28"/>
        </w:rPr>
        <w:tab/>
      </w: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PAGEREF _Toc26048 \h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9</w:t>
      </w:r>
      <w:r>
        <w:rPr>
          <w:rFonts w:hint="eastAsia" w:ascii="宋体" w:hAnsi="宋体" w:eastAsia="宋体" w:cs="宋体"/>
          <w:color w:val="auto"/>
          <w:sz w:val="28"/>
          <w:szCs w:val="28"/>
        </w:rPr>
        <w:fldChar w:fldCharType="end"/>
      </w:r>
      <w:r>
        <w:rPr>
          <w:rFonts w:hint="eastAsia" w:ascii="宋体" w:hAnsi="宋体" w:eastAsia="宋体" w:cs="宋体"/>
          <w:bCs/>
          <w:color w:val="auto"/>
          <w:sz w:val="28"/>
          <w:szCs w:val="28"/>
          <w:lang w:val="zh-CN"/>
        </w:rPr>
        <w:fldChar w:fldCharType="end"/>
      </w:r>
    </w:p>
    <w:p w14:paraId="1332C265">
      <w:pPr>
        <w:pStyle w:val="8"/>
        <w:tabs>
          <w:tab w:val="right" w:leader="dot" w:pos="8788"/>
        </w:tabs>
        <w:rPr>
          <w:rFonts w:hint="eastAsia" w:ascii="宋体" w:hAnsi="宋体" w:eastAsia="宋体" w:cs="宋体"/>
          <w:color w:val="auto"/>
          <w:sz w:val="28"/>
          <w:szCs w:val="28"/>
        </w:rPr>
      </w:pPr>
      <w:r>
        <w:rPr>
          <w:rFonts w:hint="eastAsia" w:ascii="宋体" w:hAnsi="宋体" w:eastAsia="宋体" w:cs="宋体"/>
          <w:bCs/>
          <w:color w:val="auto"/>
          <w:sz w:val="28"/>
          <w:szCs w:val="28"/>
          <w:lang w:val="zh-CN"/>
        </w:rPr>
        <w:fldChar w:fldCharType="begin"/>
      </w:r>
      <w:r>
        <w:rPr>
          <w:rFonts w:hint="eastAsia" w:ascii="宋体" w:hAnsi="宋体" w:eastAsia="宋体" w:cs="宋体"/>
          <w:bCs/>
          <w:color w:val="auto"/>
          <w:sz w:val="28"/>
          <w:szCs w:val="28"/>
          <w:lang w:val="zh-CN"/>
        </w:rPr>
        <w:instrText xml:space="preserve"> HYPERLINK \l _Toc13196 </w:instrText>
      </w:r>
      <w:r>
        <w:rPr>
          <w:rFonts w:hint="eastAsia" w:ascii="宋体" w:hAnsi="宋体" w:eastAsia="宋体" w:cs="宋体"/>
          <w:bCs/>
          <w:color w:val="auto"/>
          <w:sz w:val="28"/>
          <w:szCs w:val="28"/>
          <w:lang w:val="zh-CN"/>
        </w:rPr>
        <w:fldChar w:fldCharType="separate"/>
      </w:r>
      <w:r>
        <w:rPr>
          <w:rFonts w:hint="eastAsia" w:ascii="宋体" w:hAnsi="宋体" w:eastAsia="宋体" w:cs="宋体"/>
          <w:color w:val="auto"/>
          <w:kern w:val="44"/>
          <w:sz w:val="28"/>
          <w:szCs w:val="36"/>
        </w:rPr>
        <w:t>结  论</w:t>
      </w:r>
      <w:r>
        <w:rPr>
          <w:rFonts w:hint="eastAsia" w:ascii="宋体" w:hAnsi="宋体" w:eastAsia="宋体" w:cs="宋体"/>
          <w:color w:val="auto"/>
          <w:sz w:val="28"/>
          <w:szCs w:val="28"/>
        </w:rPr>
        <w:tab/>
      </w: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PAGEREF _Toc13196 \h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10</w:t>
      </w:r>
      <w:r>
        <w:rPr>
          <w:rFonts w:hint="eastAsia" w:ascii="宋体" w:hAnsi="宋体" w:eastAsia="宋体" w:cs="宋体"/>
          <w:color w:val="auto"/>
          <w:sz w:val="28"/>
          <w:szCs w:val="28"/>
        </w:rPr>
        <w:fldChar w:fldCharType="end"/>
      </w:r>
      <w:r>
        <w:rPr>
          <w:rFonts w:hint="eastAsia" w:ascii="宋体" w:hAnsi="宋体" w:eastAsia="宋体" w:cs="宋体"/>
          <w:bCs/>
          <w:color w:val="auto"/>
          <w:sz w:val="28"/>
          <w:szCs w:val="28"/>
          <w:lang w:val="zh-CN"/>
        </w:rPr>
        <w:fldChar w:fldCharType="end"/>
      </w:r>
    </w:p>
    <w:p w14:paraId="78C98246">
      <w:pPr>
        <w:pStyle w:val="8"/>
        <w:tabs>
          <w:tab w:val="right" w:leader="dot" w:pos="8788"/>
        </w:tabs>
        <w:rPr>
          <w:rFonts w:hint="eastAsia" w:ascii="宋体" w:hAnsi="宋体" w:eastAsia="宋体" w:cs="宋体"/>
          <w:color w:val="auto"/>
          <w:sz w:val="28"/>
          <w:szCs w:val="28"/>
        </w:rPr>
      </w:pPr>
      <w:r>
        <w:rPr>
          <w:rFonts w:hint="eastAsia" w:ascii="宋体" w:hAnsi="宋体" w:eastAsia="宋体" w:cs="宋体"/>
          <w:bCs/>
          <w:color w:val="auto"/>
          <w:sz w:val="28"/>
          <w:szCs w:val="28"/>
          <w:lang w:val="zh-CN"/>
        </w:rPr>
        <w:fldChar w:fldCharType="begin"/>
      </w:r>
      <w:r>
        <w:rPr>
          <w:rFonts w:hint="eastAsia" w:ascii="宋体" w:hAnsi="宋体" w:eastAsia="宋体" w:cs="宋体"/>
          <w:bCs/>
          <w:color w:val="auto"/>
          <w:sz w:val="28"/>
          <w:szCs w:val="28"/>
          <w:lang w:val="zh-CN"/>
        </w:rPr>
        <w:instrText xml:space="preserve"> HYPERLINK \l _Toc12141 </w:instrText>
      </w:r>
      <w:r>
        <w:rPr>
          <w:rFonts w:hint="eastAsia" w:ascii="宋体" w:hAnsi="宋体" w:eastAsia="宋体" w:cs="宋体"/>
          <w:bCs/>
          <w:color w:val="auto"/>
          <w:sz w:val="28"/>
          <w:szCs w:val="28"/>
          <w:lang w:val="zh-CN"/>
        </w:rPr>
        <w:fldChar w:fldCharType="separate"/>
      </w:r>
      <w:r>
        <w:rPr>
          <w:rFonts w:hint="eastAsia" w:ascii="宋体" w:hAnsi="宋体" w:eastAsia="宋体" w:cs="宋体"/>
          <w:color w:val="auto"/>
          <w:sz w:val="28"/>
          <w:szCs w:val="36"/>
        </w:rPr>
        <w:t>参考文献</w:t>
      </w:r>
      <w:r>
        <w:rPr>
          <w:rFonts w:hint="eastAsia" w:ascii="宋体" w:hAnsi="宋体" w:eastAsia="宋体" w:cs="宋体"/>
          <w:color w:val="auto"/>
          <w:sz w:val="28"/>
          <w:szCs w:val="28"/>
        </w:rPr>
        <w:tab/>
      </w: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PAGEREF _Toc12141 \h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11</w:t>
      </w:r>
      <w:r>
        <w:rPr>
          <w:rFonts w:hint="eastAsia" w:ascii="宋体" w:hAnsi="宋体" w:eastAsia="宋体" w:cs="宋体"/>
          <w:color w:val="auto"/>
          <w:sz w:val="28"/>
          <w:szCs w:val="28"/>
        </w:rPr>
        <w:fldChar w:fldCharType="end"/>
      </w:r>
      <w:r>
        <w:rPr>
          <w:rFonts w:hint="eastAsia" w:ascii="宋体" w:hAnsi="宋体" w:eastAsia="宋体" w:cs="宋体"/>
          <w:bCs/>
          <w:color w:val="auto"/>
          <w:sz w:val="28"/>
          <w:szCs w:val="28"/>
          <w:lang w:val="zh-CN"/>
        </w:rPr>
        <w:fldChar w:fldCharType="end"/>
      </w:r>
    </w:p>
    <w:p w14:paraId="71DE3F3E">
      <w:pPr>
        <w:pStyle w:val="8"/>
        <w:tabs>
          <w:tab w:val="right" w:leader="dot" w:pos="8788"/>
        </w:tabs>
        <w:rPr>
          <w:color w:val="auto"/>
        </w:rPr>
      </w:pPr>
      <w:r>
        <w:rPr>
          <w:rFonts w:hint="eastAsia" w:ascii="宋体" w:hAnsi="宋体" w:eastAsia="宋体" w:cs="宋体"/>
          <w:bCs/>
          <w:color w:val="auto"/>
          <w:sz w:val="28"/>
          <w:szCs w:val="28"/>
          <w:lang w:val="zh-CN"/>
        </w:rPr>
        <w:fldChar w:fldCharType="begin"/>
      </w:r>
      <w:r>
        <w:rPr>
          <w:rFonts w:hint="eastAsia" w:ascii="宋体" w:hAnsi="宋体" w:eastAsia="宋体" w:cs="宋体"/>
          <w:bCs/>
          <w:color w:val="auto"/>
          <w:sz w:val="28"/>
          <w:szCs w:val="28"/>
          <w:lang w:val="zh-CN"/>
        </w:rPr>
        <w:instrText xml:space="preserve"> HYPERLINK \l _Toc20584 </w:instrText>
      </w:r>
      <w:r>
        <w:rPr>
          <w:rFonts w:hint="eastAsia" w:ascii="宋体" w:hAnsi="宋体" w:eastAsia="宋体" w:cs="宋体"/>
          <w:bCs/>
          <w:color w:val="auto"/>
          <w:sz w:val="28"/>
          <w:szCs w:val="28"/>
          <w:lang w:val="zh-CN"/>
        </w:rPr>
        <w:fldChar w:fldCharType="separate"/>
      </w:r>
      <w:r>
        <w:rPr>
          <w:rFonts w:hint="eastAsia" w:ascii="宋体" w:hAnsi="宋体" w:eastAsia="宋体" w:cs="宋体"/>
          <w:bCs w:val="0"/>
          <w:color w:val="auto"/>
          <w:sz w:val="28"/>
          <w:szCs w:val="36"/>
        </w:rPr>
        <w:t>致</w:t>
      </w:r>
      <w:r>
        <w:rPr>
          <w:rFonts w:hint="eastAsia" w:ascii="宋体" w:hAnsi="宋体" w:eastAsia="宋体" w:cs="宋体"/>
          <w:bCs w:val="0"/>
          <w:color w:val="auto"/>
          <w:sz w:val="28"/>
          <w:szCs w:val="36"/>
          <w:lang w:val="en-US" w:eastAsia="zh-CN"/>
        </w:rPr>
        <w:t xml:space="preserve">  </w:t>
      </w:r>
      <w:r>
        <w:rPr>
          <w:rFonts w:hint="eastAsia" w:ascii="宋体" w:hAnsi="宋体" w:eastAsia="宋体" w:cs="宋体"/>
          <w:bCs w:val="0"/>
          <w:color w:val="auto"/>
          <w:sz w:val="28"/>
          <w:szCs w:val="36"/>
        </w:rPr>
        <w:t>谢</w:t>
      </w:r>
      <w:r>
        <w:rPr>
          <w:rFonts w:hint="eastAsia" w:ascii="宋体" w:hAnsi="宋体" w:eastAsia="宋体" w:cs="宋体"/>
          <w:color w:val="auto"/>
          <w:sz w:val="28"/>
          <w:szCs w:val="28"/>
        </w:rPr>
        <w:tab/>
      </w: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PAGEREF _Toc20584 \h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12</w:t>
      </w:r>
      <w:r>
        <w:rPr>
          <w:rFonts w:hint="eastAsia" w:ascii="宋体" w:hAnsi="宋体" w:eastAsia="宋体" w:cs="宋体"/>
          <w:color w:val="auto"/>
          <w:sz w:val="28"/>
          <w:szCs w:val="28"/>
        </w:rPr>
        <w:fldChar w:fldCharType="end"/>
      </w:r>
      <w:r>
        <w:rPr>
          <w:rFonts w:hint="eastAsia" w:ascii="宋体" w:hAnsi="宋体" w:eastAsia="宋体" w:cs="宋体"/>
          <w:bCs/>
          <w:color w:val="auto"/>
          <w:sz w:val="28"/>
          <w:szCs w:val="28"/>
          <w:lang w:val="zh-CN"/>
        </w:rPr>
        <w:fldChar w:fldCharType="end"/>
      </w:r>
    </w:p>
    <w:p w14:paraId="3306A88B">
      <w:pPr>
        <w:widowControl/>
        <w:spacing w:before="100" w:beforeAutospacing="1" w:after="100" w:afterAutospacing="1" w:line="360" w:lineRule="auto"/>
        <w:ind w:right="-632" w:rightChars="-301"/>
        <w:jc w:val="center"/>
        <w:rPr>
          <w:color w:val="auto"/>
        </w:rPr>
      </w:pPr>
      <w:r>
        <w:rPr>
          <w:rFonts w:ascii="宋体" w:hAnsi="宋体" w:eastAsia="宋体"/>
          <w:bCs/>
          <w:color w:val="auto"/>
          <w:lang w:val="zh-CN"/>
        </w:rPr>
        <w:fldChar w:fldCharType="end"/>
      </w:r>
    </w:p>
    <w:p w14:paraId="3B4665F7">
      <w:pPr>
        <w:pStyle w:val="19"/>
        <w:rPr>
          <w:rFonts w:ascii="黑体" w:hAnsi="黑体" w:eastAsia="黑体" w:cs="黑体"/>
          <w:color w:val="auto"/>
          <w:sz w:val="24"/>
        </w:rPr>
      </w:pPr>
    </w:p>
    <w:p w14:paraId="5E9F0C48">
      <w:pPr>
        <w:widowControl/>
        <w:spacing w:before="100" w:after="100" w:line="360" w:lineRule="auto"/>
        <w:rPr>
          <w:rFonts w:ascii="宋体" w:hAnsi="宋体" w:cs="宋体"/>
          <w:color w:val="auto"/>
          <w:kern w:val="0"/>
          <w:sz w:val="32"/>
          <w:szCs w:val="32"/>
        </w:rPr>
        <w:sectPr>
          <w:pgSz w:w="11906" w:h="16838"/>
          <w:pgMar w:top="1531" w:right="1417" w:bottom="1701" w:left="1701" w:header="851" w:footer="992" w:gutter="0"/>
          <w:pgNumType w:start="0"/>
          <w:cols w:space="0" w:num="1"/>
          <w:titlePg/>
          <w:docGrid w:type="lines" w:linePitch="312" w:charSpace="0"/>
        </w:sectPr>
      </w:pPr>
    </w:p>
    <w:p w14:paraId="65DF64FC">
      <w:pPr>
        <w:pStyle w:val="2"/>
        <w:spacing w:before="156" w:beforeLines="50" w:after="156" w:afterLines="50" w:line="579" w:lineRule="auto"/>
        <w:jc w:val="center"/>
        <w:rPr>
          <w:rFonts w:ascii="黑体" w:hAnsi="黑体" w:eastAsia="黑体"/>
          <w:b w:val="0"/>
          <w:bCs w:val="0"/>
          <w:color w:val="auto"/>
          <w:sz w:val="30"/>
          <w:szCs w:val="30"/>
        </w:rPr>
      </w:pPr>
      <w:bookmarkStart w:id="0" w:name="_Toc38"/>
      <w:r>
        <w:rPr>
          <w:rFonts w:hint="eastAsia" w:ascii="黑体" w:hAnsi="黑体" w:eastAsia="黑体"/>
          <w:b w:val="0"/>
          <w:bCs w:val="0"/>
          <w:color w:val="auto"/>
          <w:sz w:val="30"/>
          <w:szCs w:val="30"/>
        </w:rPr>
        <w:t>引言</w:t>
      </w:r>
      <w:bookmarkEnd w:id="0"/>
    </w:p>
    <w:p w14:paraId="6350EEA8">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ascii="宋体" w:hAnsi="宋体" w:eastAsia="宋体" w:cs="Times New Roman"/>
          <w:color w:val="auto"/>
          <w:sz w:val="24"/>
        </w:rPr>
      </w:pPr>
      <w:r>
        <w:rPr>
          <w:rFonts w:hint="eastAsia" w:ascii="宋体" w:hAnsi="宋体" w:eastAsia="宋体" w:cs="Times New Roman"/>
          <w:color w:val="auto"/>
          <w:sz w:val="24"/>
        </w:rPr>
        <w:t>随着全球化的加速和电子商务的兴起，物流行业正面临着前所未有的机遇和挑战。消费者对物流服务的期望越来越高，不仅要求快速、准确的配送，还期望能够实时跟踪包裹状态、享受个性化的服务体验。与此同时，物流企业面临着成本上升、竞争加剧的压力，必须通过创新来提升自身的竞争力。货拉拉作为国内领先的同城货运平台，通过创新的商业模式和技术应用，为用户提供了便捷、高效的物流配送服务。然而，随着市场的快速变化和竞争的加剧，货拉拉在物流配送及服务方面仍需不断创新和优化。</w:t>
      </w:r>
    </w:p>
    <w:p w14:paraId="00F4AC07">
      <w:pPr>
        <w:spacing w:line="360" w:lineRule="auto"/>
        <w:rPr>
          <w:rFonts w:ascii="Times New Roman" w:hAnsi="Times New Roman" w:eastAsia="宋体"/>
          <w:color w:val="auto"/>
          <w:sz w:val="24"/>
        </w:rPr>
      </w:pPr>
    </w:p>
    <w:p w14:paraId="7146968B">
      <w:pPr>
        <w:spacing w:line="360" w:lineRule="auto"/>
        <w:rPr>
          <w:rFonts w:ascii="Times New Roman" w:hAnsi="Times New Roman" w:eastAsia="宋体"/>
          <w:color w:val="auto"/>
          <w:sz w:val="24"/>
        </w:rPr>
      </w:pPr>
    </w:p>
    <w:p w14:paraId="176E6A68">
      <w:pPr>
        <w:spacing w:line="360" w:lineRule="auto"/>
        <w:rPr>
          <w:rFonts w:ascii="Times New Roman" w:hAnsi="Times New Roman" w:eastAsia="宋体"/>
          <w:color w:val="auto"/>
          <w:sz w:val="24"/>
        </w:rPr>
      </w:pPr>
    </w:p>
    <w:p w14:paraId="615309A3">
      <w:pPr>
        <w:spacing w:line="360" w:lineRule="auto"/>
        <w:rPr>
          <w:rFonts w:ascii="Times New Roman" w:hAnsi="Times New Roman" w:eastAsia="宋体"/>
          <w:color w:val="auto"/>
          <w:sz w:val="24"/>
        </w:rPr>
      </w:pPr>
    </w:p>
    <w:p w14:paraId="4ADDB34D">
      <w:pPr>
        <w:spacing w:line="360" w:lineRule="auto"/>
        <w:rPr>
          <w:rFonts w:ascii="Times New Roman" w:hAnsi="Times New Roman" w:eastAsia="宋体"/>
          <w:color w:val="auto"/>
          <w:sz w:val="24"/>
        </w:rPr>
      </w:pPr>
    </w:p>
    <w:p w14:paraId="0A11A54B">
      <w:pPr>
        <w:spacing w:line="360" w:lineRule="auto"/>
        <w:rPr>
          <w:rFonts w:ascii="Times New Roman" w:hAnsi="Times New Roman" w:eastAsia="宋体"/>
          <w:color w:val="auto"/>
          <w:sz w:val="24"/>
        </w:rPr>
      </w:pPr>
    </w:p>
    <w:p w14:paraId="41934F99">
      <w:pPr>
        <w:spacing w:line="360" w:lineRule="auto"/>
        <w:rPr>
          <w:rFonts w:ascii="Times New Roman" w:hAnsi="Times New Roman" w:eastAsia="宋体"/>
          <w:color w:val="auto"/>
          <w:sz w:val="24"/>
        </w:rPr>
      </w:pPr>
    </w:p>
    <w:p w14:paraId="5999FACC">
      <w:pPr>
        <w:spacing w:line="360" w:lineRule="auto"/>
        <w:rPr>
          <w:rFonts w:ascii="Times New Roman" w:hAnsi="Times New Roman" w:eastAsia="宋体"/>
          <w:color w:val="auto"/>
          <w:sz w:val="24"/>
        </w:rPr>
      </w:pPr>
    </w:p>
    <w:p w14:paraId="0AF20A87">
      <w:pPr>
        <w:spacing w:line="360" w:lineRule="auto"/>
        <w:rPr>
          <w:rFonts w:ascii="Times New Roman" w:hAnsi="Times New Roman" w:eastAsia="宋体"/>
          <w:color w:val="auto"/>
          <w:sz w:val="24"/>
        </w:rPr>
      </w:pPr>
    </w:p>
    <w:p w14:paraId="7E44667A">
      <w:pPr>
        <w:spacing w:line="360" w:lineRule="auto"/>
        <w:rPr>
          <w:rFonts w:ascii="Times New Roman" w:hAnsi="Times New Roman" w:eastAsia="宋体"/>
          <w:color w:val="auto"/>
          <w:sz w:val="24"/>
        </w:rPr>
      </w:pPr>
    </w:p>
    <w:p w14:paraId="41FBD2DE">
      <w:pPr>
        <w:spacing w:line="360" w:lineRule="auto"/>
        <w:rPr>
          <w:rFonts w:ascii="Times New Roman" w:hAnsi="Times New Roman" w:eastAsia="宋体"/>
          <w:color w:val="auto"/>
          <w:sz w:val="24"/>
        </w:rPr>
      </w:pPr>
    </w:p>
    <w:p w14:paraId="5EDA2003">
      <w:pPr>
        <w:spacing w:line="360" w:lineRule="auto"/>
        <w:rPr>
          <w:rFonts w:ascii="Times New Roman" w:hAnsi="Times New Roman" w:eastAsia="宋体"/>
          <w:color w:val="auto"/>
          <w:sz w:val="24"/>
        </w:rPr>
      </w:pPr>
    </w:p>
    <w:p w14:paraId="50011AE3">
      <w:pPr>
        <w:spacing w:line="360" w:lineRule="auto"/>
        <w:rPr>
          <w:rFonts w:ascii="Times New Roman" w:hAnsi="Times New Roman" w:eastAsia="宋体"/>
          <w:color w:val="auto"/>
          <w:sz w:val="24"/>
        </w:rPr>
      </w:pPr>
    </w:p>
    <w:p w14:paraId="12B6E735">
      <w:pPr>
        <w:spacing w:line="360" w:lineRule="auto"/>
        <w:rPr>
          <w:rFonts w:ascii="Times New Roman" w:hAnsi="Times New Roman" w:eastAsia="宋体"/>
          <w:color w:val="auto"/>
          <w:sz w:val="24"/>
        </w:rPr>
      </w:pPr>
    </w:p>
    <w:p w14:paraId="277CCB74">
      <w:pPr>
        <w:spacing w:line="360" w:lineRule="auto"/>
        <w:rPr>
          <w:rFonts w:ascii="Times New Roman" w:hAnsi="Times New Roman" w:eastAsia="宋体"/>
          <w:color w:val="auto"/>
          <w:sz w:val="24"/>
        </w:rPr>
      </w:pPr>
    </w:p>
    <w:p w14:paraId="77D40CAD">
      <w:pPr>
        <w:spacing w:line="360" w:lineRule="auto"/>
        <w:rPr>
          <w:rFonts w:ascii="Times New Roman" w:hAnsi="Times New Roman" w:eastAsia="宋体"/>
          <w:color w:val="auto"/>
          <w:sz w:val="24"/>
        </w:rPr>
      </w:pPr>
    </w:p>
    <w:p w14:paraId="594509C7">
      <w:pPr>
        <w:spacing w:line="360" w:lineRule="auto"/>
        <w:rPr>
          <w:rFonts w:ascii="Times New Roman" w:hAnsi="Times New Roman" w:eastAsia="宋体"/>
          <w:color w:val="auto"/>
          <w:sz w:val="24"/>
        </w:rPr>
      </w:pPr>
    </w:p>
    <w:p w14:paraId="443E95A1">
      <w:pPr>
        <w:pStyle w:val="2"/>
        <w:keepNext/>
        <w:keepLines/>
        <w:pageBreakBefore/>
        <w:widowControl w:val="0"/>
        <w:kinsoku/>
        <w:wordWrap/>
        <w:overflowPunct/>
        <w:topLinePunct w:val="0"/>
        <w:autoSpaceDE/>
        <w:autoSpaceDN/>
        <w:bidi w:val="0"/>
        <w:adjustRightInd/>
        <w:snapToGrid/>
        <w:spacing w:before="156" w:beforeLines="50" w:after="156" w:afterLines="50" w:line="300" w:lineRule="auto"/>
        <w:ind w:firstLine="3000" w:firstLineChars="1000"/>
        <w:jc w:val="both"/>
        <w:textAlignment w:val="auto"/>
        <w:rPr>
          <w:rFonts w:ascii="黑体" w:hAnsi="黑体" w:eastAsia="黑体"/>
          <w:b w:val="0"/>
          <w:bCs w:val="0"/>
          <w:color w:val="auto"/>
          <w:sz w:val="30"/>
          <w:szCs w:val="30"/>
        </w:rPr>
      </w:pPr>
      <w:bookmarkStart w:id="1" w:name="_Toc17996"/>
      <w:r>
        <w:rPr>
          <w:rFonts w:hint="eastAsia" w:ascii="黑体" w:hAnsi="黑体" w:eastAsia="黑体"/>
          <w:b w:val="0"/>
          <w:bCs w:val="0"/>
          <w:color w:val="auto"/>
          <w:sz w:val="30"/>
          <w:szCs w:val="30"/>
        </w:rPr>
        <w:t xml:space="preserve">第一章 </w:t>
      </w:r>
      <w:r>
        <w:rPr>
          <w:rFonts w:ascii="黑体" w:hAnsi="黑体" w:eastAsia="黑体"/>
          <w:b w:val="0"/>
          <w:bCs w:val="0"/>
          <w:color w:val="auto"/>
          <w:sz w:val="30"/>
          <w:szCs w:val="30"/>
        </w:rPr>
        <w:t xml:space="preserve"> </w:t>
      </w:r>
      <w:r>
        <w:rPr>
          <w:rFonts w:hint="eastAsia" w:ascii="黑体" w:hAnsi="黑体" w:eastAsia="黑体"/>
          <w:b w:val="0"/>
          <w:bCs w:val="0"/>
          <w:color w:val="auto"/>
          <w:sz w:val="30"/>
          <w:szCs w:val="30"/>
        </w:rPr>
        <w:t>绪论</w:t>
      </w:r>
      <w:bookmarkEnd w:id="1"/>
    </w:p>
    <w:p w14:paraId="396A61C4">
      <w:pPr>
        <w:spacing w:before="156" w:beforeLines="50" w:line="300" w:lineRule="auto"/>
        <w:rPr>
          <w:rStyle w:val="21"/>
          <w:rFonts w:hint="eastAsia" w:ascii="黑体" w:hAnsi="黑体" w:eastAsia="黑体" w:cs="宋体"/>
          <w:b w:val="0"/>
          <w:color w:val="auto"/>
          <w:szCs w:val="28"/>
        </w:rPr>
      </w:pPr>
      <w:bookmarkStart w:id="2" w:name="_Toc29897"/>
      <w:r>
        <w:rPr>
          <w:rStyle w:val="21"/>
          <w:rFonts w:hint="eastAsia" w:ascii="黑体" w:hAnsi="黑体" w:eastAsia="黑体" w:cs="宋体"/>
          <w:b w:val="0"/>
          <w:color w:val="auto"/>
          <w:szCs w:val="28"/>
        </w:rPr>
        <w:t>1.1 物流配送及服务创新的概念</w:t>
      </w:r>
    </w:p>
    <w:bookmarkEnd w:id="2"/>
    <w:p w14:paraId="321F4157">
      <w:pPr>
        <w:spacing w:line="300" w:lineRule="auto"/>
        <w:ind w:firstLine="480" w:firstLineChars="200"/>
        <w:rPr>
          <w:rFonts w:hint="eastAsia" w:ascii="宋体" w:hAnsi="宋体" w:eastAsia="宋体" w:cs="Times New Roman"/>
          <w:color w:val="auto"/>
          <w:sz w:val="24"/>
        </w:rPr>
      </w:pPr>
      <w:r>
        <w:rPr>
          <w:rFonts w:hint="eastAsia" w:ascii="宋体" w:hAnsi="宋体" w:eastAsia="宋体" w:cs="Times New Roman"/>
          <w:color w:val="auto"/>
          <w:sz w:val="24"/>
        </w:rPr>
        <w:t>物流配送及服务创新是指物流企业通过引入新技术、新方法和新模式，对传统的物流配送流程和服务模式进行优化和改进，以提高运营效率、降低成本、提升客户满意度和增强市场竞争力。在现代物流领域，创新不仅体现在技术层面，还体现在服务理念、管理模式和业务流程等多个方面。</w:t>
      </w:r>
    </w:p>
    <w:p w14:paraId="1244E1FF">
      <w:pPr>
        <w:spacing w:before="156" w:beforeLines="50" w:line="300" w:lineRule="auto"/>
        <w:rPr>
          <w:rStyle w:val="21"/>
          <w:rFonts w:hint="eastAsia" w:ascii="黑体" w:hAnsi="黑体" w:eastAsia="黑体" w:cs="宋体"/>
          <w:b w:val="0"/>
          <w:color w:val="auto"/>
          <w:szCs w:val="28"/>
        </w:rPr>
      </w:pPr>
      <w:bookmarkStart w:id="3" w:name="_Toc23864"/>
      <w:r>
        <w:rPr>
          <w:rStyle w:val="21"/>
          <w:rFonts w:hint="eastAsia" w:ascii="黑体" w:hAnsi="黑体" w:eastAsia="黑体" w:cs="宋体"/>
          <w:b w:val="0"/>
          <w:color w:val="auto"/>
          <w:szCs w:val="28"/>
        </w:rPr>
        <w:t>1.2 研究意义</w:t>
      </w:r>
    </w:p>
    <w:bookmarkEnd w:id="3"/>
    <w:p w14:paraId="47808D3D">
      <w:pPr>
        <w:spacing w:line="300" w:lineRule="auto"/>
        <w:ind w:firstLine="480" w:firstLineChars="200"/>
        <w:rPr>
          <w:rFonts w:ascii="宋体" w:hAnsi="宋体" w:cs="宋体"/>
          <w:bCs/>
          <w:color w:val="auto"/>
          <w:sz w:val="24"/>
          <w:lang w:bidi="en-US"/>
        </w:rPr>
      </w:pPr>
      <w:r>
        <w:rPr>
          <w:rFonts w:hint="eastAsia" w:ascii="宋体" w:hAnsi="宋体" w:eastAsia="宋体" w:cs="Times New Roman"/>
          <w:color w:val="auto"/>
          <w:sz w:val="24"/>
        </w:rPr>
        <w:t>本研究旨在通过对货拉拉物流配送及服务现状的深入分析，探讨其在物流配送及服务创新方面存在的问题，并提出相应的创新方案。这些方案不仅能够帮助货拉拉解决当前面临的问题，提升其市场竞争力，还能为其他物流企业提供有益的参考和借鉴，推动整个物流行业的创新发展。通过本研究，可以为货拉拉在智能化配送网络的构建、大数据驱动的精准服务、绿色物流的实施以及客户体验的全方位提升等方面提供具体的实施策略和建议，助力货拉拉实现可持续发展</w:t>
      </w:r>
      <w:r>
        <w:rPr>
          <w:rFonts w:hint="eastAsia" w:ascii="宋体" w:hAnsi="宋体" w:cs="宋体"/>
          <w:bCs/>
          <w:color w:val="auto"/>
          <w:sz w:val="24"/>
          <w:lang w:bidi="en-US"/>
        </w:rPr>
        <w:t>。</w:t>
      </w:r>
    </w:p>
    <w:p w14:paraId="0383AF81">
      <w:pPr>
        <w:spacing w:line="300" w:lineRule="auto"/>
        <w:ind w:firstLine="480" w:firstLineChars="200"/>
        <w:rPr>
          <w:rFonts w:ascii="宋体" w:hAnsi="宋体" w:cs="宋体"/>
          <w:bCs/>
          <w:color w:val="auto"/>
          <w:sz w:val="24"/>
          <w:lang w:bidi="en-US"/>
        </w:rPr>
      </w:pPr>
    </w:p>
    <w:p w14:paraId="2147686A">
      <w:pPr>
        <w:spacing w:line="300" w:lineRule="auto"/>
        <w:ind w:firstLine="480" w:firstLineChars="200"/>
        <w:rPr>
          <w:rFonts w:ascii="宋体" w:hAnsi="宋体" w:cs="宋体"/>
          <w:bCs/>
          <w:color w:val="auto"/>
          <w:sz w:val="24"/>
          <w:lang w:bidi="en-US"/>
        </w:rPr>
      </w:pPr>
    </w:p>
    <w:p w14:paraId="0C34F9C3">
      <w:pPr>
        <w:spacing w:line="300" w:lineRule="auto"/>
        <w:ind w:firstLine="480" w:firstLineChars="200"/>
        <w:rPr>
          <w:rFonts w:ascii="宋体" w:hAnsi="宋体" w:cs="宋体"/>
          <w:bCs/>
          <w:color w:val="auto"/>
          <w:sz w:val="24"/>
          <w:lang w:bidi="en-US"/>
        </w:rPr>
      </w:pPr>
    </w:p>
    <w:p w14:paraId="7AC71867">
      <w:pPr>
        <w:spacing w:line="300" w:lineRule="auto"/>
        <w:ind w:firstLine="480" w:firstLineChars="200"/>
        <w:rPr>
          <w:rFonts w:ascii="宋体" w:hAnsi="宋体" w:cs="宋体"/>
          <w:bCs/>
          <w:color w:val="auto"/>
          <w:sz w:val="24"/>
          <w:lang w:bidi="en-US"/>
        </w:rPr>
      </w:pPr>
    </w:p>
    <w:p w14:paraId="3F19ACEC">
      <w:pPr>
        <w:spacing w:line="300" w:lineRule="auto"/>
        <w:ind w:firstLine="480" w:firstLineChars="200"/>
        <w:rPr>
          <w:rFonts w:ascii="宋体" w:hAnsi="宋体" w:cs="宋体"/>
          <w:bCs/>
          <w:color w:val="auto"/>
          <w:sz w:val="24"/>
          <w:lang w:bidi="en-US"/>
        </w:rPr>
      </w:pPr>
    </w:p>
    <w:p w14:paraId="7AF9EF46">
      <w:pPr>
        <w:spacing w:line="300" w:lineRule="auto"/>
        <w:ind w:firstLine="480" w:firstLineChars="200"/>
        <w:rPr>
          <w:rFonts w:ascii="宋体" w:hAnsi="宋体" w:cs="宋体"/>
          <w:bCs/>
          <w:color w:val="auto"/>
          <w:sz w:val="24"/>
          <w:lang w:bidi="en-US"/>
        </w:rPr>
      </w:pPr>
    </w:p>
    <w:p w14:paraId="195DE919">
      <w:pPr>
        <w:spacing w:line="300" w:lineRule="auto"/>
        <w:ind w:firstLine="480" w:firstLineChars="200"/>
        <w:rPr>
          <w:rFonts w:ascii="宋体" w:hAnsi="宋体" w:cs="宋体"/>
          <w:bCs/>
          <w:color w:val="auto"/>
          <w:sz w:val="24"/>
          <w:lang w:bidi="en-US"/>
        </w:rPr>
      </w:pPr>
    </w:p>
    <w:p w14:paraId="433973F3">
      <w:pPr>
        <w:spacing w:line="300" w:lineRule="auto"/>
        <w:ind w:firstLine="480" w:firstLineChars="200"/>
        <w:rPr>
          <w:rFonts w:ascii="宋体" w:hAnsi="宋体" w:cs="宋体"/>
          <w:bCs/>
          <w:color w:val="auto"/>
          <w:sz w:val="24"/>
          <w:lang w:bidi="en-US"/>
        </w:rPr>
      </w:pPr>
    </w:p>
    <w:p w14:paraId="232DAD26">
      <w:pPr>
        <w:pStyle w:val="2"/>
        <w:keepNext/>
        <w:keepLines/>
        <w:pageBreakBefore/>
        <w:widowControl w:val="0"/>
        <w:kinsoku/>
        <w:wordWrap/>
        <w:overflowPunct/>
        <w:topLinePunct w:val="0"/>
        <w:autoSpaceDE/>
        <w:autoSpaceDN/>
        <w:bidi w:val="0"/>
        <w:adjustRightInd/>
        <w:snapToGrid/>
        <w:spacing w:before="156" w:beforeLines="50" w:after="156" w:afterLines="50" w:line="300" w:lineRule="auto"/>
        <w:jc w:val="center"/>
        <w:textAlignment w:val="auto"/>
        <w:rPr>
          <w:rFonts w:hint="eastAsia" w:ascii="黑体" w:hAnsi="黑体" w:eastAsia="黑体"/>
          <w:b w:val="0"/>
          <w:bCs w:val="0"/>
          <w:color w:val="auto"/>
          <w:sz w:val="30"/>
          <w:szCs w:val="30"/>
        </w:rPr>
      </w:pPr>
      <w:bookmarkStart w:id="4" w:name="_Toc9255"/>
      <w:bookmarkStart w:id="5" w:name="_Toc421130210"/>
      <w:r>
        <w:rPr>
          <w:rFonts w:hint="eastAsia" w:ascii="黑体" w:hAnsi="黑体" w:eastAsia="黑体"/>
          <w:b w:val="0"/>
          <w:bCs w:val="0"/>
          <w:color w:val="auto"/>
          <w:sz w:val="30"/>
          <w:szCs w:val="30"/>
        </w:rPr>
        <w:t>第二章 货拉拉物流配送及服务现状分析</w:t>
      </w:r>
      <w:bookmarkEnd w:id="4"/>
    </w:p>
    <w:p w14:paraId="64C7E94C">
      <w:pPr>
        <w:spacing w:before="156" w:beforeLines="50" w:line="300" w:lineRule="auto"/>
        <w:rPr>
          <w:rStyle w:val="21"/>
          <w:rFonts w:hint="eastAsia" w:ascii="黑体" w:hAnsi="黑体" w:eastAsia="黑体" w:cs="宋体"/>
          <w:b w:val="0"/>
          <w:color w:val="auto"/>
          <w:szCs w:val="28"/>
        </w:rPr>
      </w:pPr>
      <w:bookmarkStart w:id="6" w:name="_Toc31443"/>
      <w:r>
        <w:rPr>
          <w:rStyle w:val="21"/>
          <w:rFonts w:hint="eastAsia" w:ascii="黑体" w:hAnsi="黑体" w:eastAsia="黑体" w:cs="宋体"/>
          <w:b w:val="0"/>
          <w:color w:val="auto"/>
          <w:szCs w:val="28"/>
        </w:rPr>
        <w:t>2.1 货拉拉企业简介</w:t>
      </w:r>
    </w:p>
    <w:bookmarkEnd w:id="6"/>
    <w:p w14:paraId="26E476FA">
      <w:pPr>
        <w:spacing w:line="300" w:lineRule="auto"/>
        <w:ind w:firstLine="480" w:firstLineChars="200"/>
        <w:rPr>
          <w:rFonts w:hint="eastAsia" w:ascii="宋体" w:hAnsi="宋体" w:cs="宋体"/>
          <w:bCs/>
          <w:color w:val="auto"/>
          <w:sz w:val="24"/>
          <w:lang w:bidi="en-US"/>
        </w:rPr>
      </w:pPr>
      <w:r>
        <w:rPr>
          <w:rFonts w:hint="eastAsia" w:ascii="宋体" w:hAnsi="宋体" w:cs="宋体"/>
          <w:bCs/>
          <w:color w:val="auto"/>
          <w:sz w:val="24"/>
          <w:lang w:bidi="en-US"/>
        </w:rPr>
        <w:t>货拉拉成立于 2013 年，是一家专注于同城货运的互联网物流平台。在过去的十几年间，货拉拉凭借其创新的商业模式和优质的服务，迅速成长为物流行业的一匹黑马。货拉拉通过连接司机和货主，提供便捷、高效的货运服务，满足城市居民和企业的多样化物流需求。其服务范围涵盖了从个人搬家到企业货物运输的多个领域，几乎涵盖了所有与城市物流相关的业务场景。</w:t>
      </w:r>
    </w:p>
    <w:p w14:paraId="6B002C6B">
      <w:pPr>
        <w:spacing w:line="300" w:lineRule="auto"/>
        <w:ind w:firstLine="480" w:firstLineChars="200"/>
        <w:rPr>
          <w:rFonts w:hint="eastAsia" w:ascii="宋体" w:hAnsi="宋体" w:cs="宋体"/>
          <w:bCs/>
          <w:color w:val="auto"/>
          <w:sz w:val="24"/>
          <w:lang w:bidi="en-US"/>
        </w:rPr>
      </w:pPr>
      <w:r>
        <w:rPr>
          <w:rFonts w:hint="eastAsia" w:ascii="宋体" w:hAnsi="宋体" w:cs="宋体"/>
          <w:bCs/>
          <w:color w:val="auto"/>
          <w:sz w:val="24"/>
          <w:lang w:bidi="en-US"/>
        </w:rPr>
        <w:t>目前，货拉拉的服务覆盖全国多个城市，拥有庞大的用户群体和丰富的货运资源。其用户群体涵盖了个人用户、小型企业以及大型企业客户，几乎涵盖了所有需要物流服务的主体。在货运资源方面，货拉拉整合了各种类型的货运车辆，包括小型面包车、中型厢式货车以及大型卡车等，能够满足不同货物运输的需求。这种广泛的资源覆盖使得货拉拉在市场竞争中占据了有利地位。</w:t>
      </w:r>
    </w:p>
    <w:p w14:paraId="165E748F">
      <w:pPr>
        <w:spacing w:before="156" w:beforeLines="50" w:line="300" w:lineRule="auto"/>
        <w:rPr>
          <w:rStyle w:val="21"/>
          <w:rFonts w:hint="eastAsia" w:ascii="黑体" w:hAnsi="黑体" w:eastAsia="黑体" w:cs="宋体"/>
          <w:b w:val="0"/>
          <w:color w:val="auto"/>
          <w:szCs w:val="28"/>
        </w:rPr>
      </w:pPr>
      <w:bookmarkStart w:id="7" w:name="_Toc12248"/>
      <w:r>
        <w:rPr>
          <w:rStyle w:val="21"/>
          <w:rFonts w:hint="eastAsia" w:ascii="黑体" w:hAnsi="黑体" w:eastAsia="黑体" w:cs="宋体"/>
          <w:b w:val="0"/>
          <w:color w:val="auto"/>
          <w:szCs w:val="28"/>
        </w:rPr>
        <w:t>2.2 货拉拉物流配送及服务现状</w:t>
      </w:r>
    </w:p>
    <w:bookmarkEnd w:id="7"/>
    <w:p w14:paraId="1E68371E">
      <w:pPr>
        <w:spacing w:line="300" w:lineRule="auto"/>
        <w:ind w:firstLine="480" w:firstLineChars="200"/>
        <w:rPr>
          <w:rFonts w:hint="eastAsia" w:ascii="宋体" w:hAnsi="宋体" w:cs="宋体"/>
          <w:bCs/>
          <w:color w:val="auto"/>
          <w:sz w:val="24"/>
          <w:lang w:bidi="en-US"/>
        </w:rPr>
      </w:pPr>
      <w:r>
        <w:rPr>
          <w:rFonts w:hint="eastAsia" w:ascii="宋体" w:hAnsi="宋体" w:cs="宋体"/>
          <w:bCs/>
          <w:color w:val="auto"/>
          <w:sz w:val="24"/>
          <w:lang w:bidi="en-US"/>
        </w:rPr>
        <w:t>货拉拉在物流配送及服务方面一直保持着较高的标准和创新意识。作为一家领先的互联网物流平台，货拉拉始终致力于为用户提供高质量的物流服务。其服务标准不仅体现在对货物运输的安全性和及时性的要求上，还体现在对服务质量的持续改进上。货拉拉通过不断引入新的技术和管理方法，提升服务的效率和质量。</w:t>
      </w:r>
    </w:p>
    <w:p w14:paraId="19CDC3AC">
      <w:pPr>
        <w:spacing w:line="300" w:lineRule="auto"/>
        <w:ind w:firstLine="480" w:firstLineChars="200"/>
        <w:rPr>
          <w:rFonts w:hint="eastAsia" w:ascii="宋体" w:hAnsi="宋体" w:cs="宋体"/>
          <w:bCs/>
          <w:color w:val="auto"/>
          <w:sz w:val="24"/>
          <w:lang w:bidi="en-US"/>
        </w:rPr>
      </w:pPr>
      <w:r>
        <w:rPr>
          <w:rFonts w:hint="eastAsia" w:ascii="宋体" w:hAnsi="宋体" w:cs="宋体"/>
          <w:bCs/>
          <w:color w:val="auto"/>
          <w:sz w:val="24"/>
          <w:lang w:bidi="en-US"/>
        </w:rPr>
        <w:t>货拉拉通过移动互联网平台，实现了从订单下单、司机接单到货物配送的全流程管理。这种全流程管理的优势在于能够对整个物流过程进行实时监控和管理，确保每一个环节都能按照预定的计划进行。用户可以通过手机应用实时查看订单的状态，了解货物的运输进度。司机也可以通过平台获取最新的订单信息，及时调整运输路线和计划。这种高效的管理模式不仅提高了用户的满意度，也提高了货拉拉的运营效率。</w:t>
      </w:r>
    </w:p>
    <w:p w14:paraId="2D2FE627">
      <w:pPr>
        <w:spacing w:line="300" w:lineRule="auto"/>
        <w:ind w:firstLine="480" w:firstLineChars="200"/>
        <w:rPr>
          <w:rFonts w:hint="eastAsia" w:ascii="宋体" w:hAnsi="宋体" w:cs="宋体"/>
          <w:bCs/>
          <w:color w:val="auto"/>
          <w:sz w:val="24"/>
          <w:lang w:bidi="en-US"/>
        </w:rPr>
      </w:pPr>
      <w:r>
        <w:rPr>
          <w:rFonts w:hint="eastAsia" w:ascii="宋体" w:hAnsi="宋体" w:cs="宋体"/>
          <w:bCs/>
          <w:color w:val="auto"/>
          <w:sz w:val="24"/>
          <w:lang w:bidi="en-US"/>
        </w:rPr>
        <w:t>货拉拉的服务包括但不限于同城货运、搬家服务、企业物流等，能够满足不同客户的需求。其服务的多样性是其在市场竞争中的重要优势之一。对于个人用户来说，货拉拉的搬家服务提供了便捷的解决方案，用户可以通过平台轻松找到专业的搬家团队，完成从旧居到新居的搬家任务。对于企业用户来说，货拉拉的企业物流服务能够满足其日常的货物运输需求，包括原材料的采购、产品的配送等。此外，货拉拉还提供了一些定制化的服务，如大件货物运输、特殊物品运输等，进一步满足了不同客户的需求。</w:t>
      </w:r>
    </w:p>
    <w:p w14:paraId="6409C95A">
      <w:pPr>
        <w:spacing w:before="156" w:beforeLines="50" w:line="300" w:lineRule="auto"/>
        <w:rPr>
          <w:rStyle w:val="21"/>
          <w:rFonts w:hint="eastAsia" w:ascii="黑体" w:hAnsi="黑体" w:eastAsia="黑体" w:cs="宋体"/>
          <w:b w:val="0"/>
          <w:color w:val="auto"/>
          <w:szCs w:val="28"/>
        </w:rPr>
      </w:pPr>
      <w:bookmarkStart w:id="8" w:name="_Toc29537"/>
      <w:r>
        <w:rPr>
          <w:rStyle w:val="21"/>
          <w:rFonts w:hint="eastAsia" w:ascii="黑体" w:hAnsi="黑体" w:eastAsia="黑体" w:cs="宋体"/>
          <w:b w:val="0"/>
          <w:color w:val="auto"/>
          <w:szCs w:val="28"/>
        </w:rPr>
        <w:t>2.3 货拉拉物流配送及服务存在的问题及原因分析</w:t>
      </w:r>
    </w:p>
    <w:bookmarkEnd w:id="8"/>
    <w:p w14:paraId="10DE9BAA">
      <w:pPr>
        <w:spacing w:line="300" w:lineRule="auto"/>
        <w:ind w:firstLine="480" w:firstLineChars="200"/>
        <w:rPr>
          <w:rFonts w:hint="eastAsia" w:ascii="宋体" w:hAnsi="宋体" w:cs="宋体"/>
          <w:bCs/>
          <w:color w:val="auto"/>
          <w:sz w:val="24"/>
          <w:lang w:bidi="en-US"/>
        </w:rPr>
      </w:pPr>
      <w:r>
        <w:rPr>
          <w:rFonts w:hint="eastAsia" w:ascii="宋体" w:hAnsi="宋体" w:cs="宋体"/>
          <w:bCs/>
          <w:color w:val="auto"/>
          <w:sz w:val="24"/>
          <w:lang w:val="en-US" w:eastAsia="zh-CN" w:bidi="en-US"/>
        </w:rPr>
        <w:t>1、</w:t>
      </w:r>
      <w:r>
        <w:rPr>
          <w:rFonts w:hint="eastAsia" w:ascii="宋体" w:hAnsi="宋体" w:cs="宋体"/>
          <w:bCs/>
          <w:color w:val="auto"/>
          <w:sz w:val="24"/>
          <w:lang w:bidi="en-US"/>
        </w:rPr>
        <w:t>配送网络的灵活性不足</w:t>
      </w:r>
    </w:p>
    <w:p w14:paraId="05C373B1">
      <w:pPr>
        <w:spacing w:line="300" w:lineRule="auto"/>
        <w:ind w:firstLine="480" w:firstLineChars="200"/>
        <w:rPr>
          <w:rFonts w:hint="eastAsia" w:ascii="宋体" w:hAnsi="宋体" w:cs="宋体"/>
          <w:bCs/>
          <w:color w:val="auto"/>
          <w:sz w:val="24"/>
          <w:lang w:bidi="en-US"/>
        </w:rPr>
      </w:pPr>
      <w:r>
        <w:rPr>
          <w:rFonts w:hint="eastAsia" w:ascii="宋体" w:hAnsi="宋体" w:cs="宋体"/>
          <w:bCs/>
          <w:color w:val="auto"/>
          <w:sz w:val="24"/>
          <w:lang w:bidi="en-US"/>
        </w:rPr>
        <w:t>货拉拉的物流配送网络虽然覆盖广泛，但在面对突发情况和特殊需求时，灵活性不足。在一些特殊时期，如节假日或促销活动期间，订单量会激增，这对货拉拉的配送网络提出了更高的要求。然而，由于其配送网络在规划和设计时缺乏对市场变化的充分预测和应对机制，导致在这些特殊时期，货拉拉的配送网络可能会出现拥堵，进而导致配送延迟。例如，在春节期间，许多人都会选择回家过年，这使得城市的物流需求大幅增加。货拉拉的配送网络可能会因为车辆不足、司机短缺等原因而无法及时响应用户的订单，导致货物无法按时送达。</w:t>
      </w:r>
    </w:p>
    <w:p w14:paraId="08A80774">
      <w:pPr>
        <w:spacing w:line="300" w:lineRule="auto"/>
        <w:ind w:firstLine="480" w:firstLineChars="200"/>
        <w:rPr>
          <w:rFonts w:hint="eastAsia" w:ascii="宋体" w:hAnsi="宋体" w:cs="宋体"/>
          <w:bCs/>
          <w:color w:val="auto"/>
          <w:sz w:val="24"/>
          <w:lang w:bidi="en-US"/>
        </w:rPr>
      </w:pPr>
      <w:r>
        <w:rPr>
          <w:rFonts w:hint="eastAsia" w:ascii="宋体" w:hAnsi="宋体" w:cs="宋体"/>
          <w:bCs/>
          <w:color w:val="auto"/>
          <w:sz w:val="24"/>
          <w:lang w:bidi="en-US"/>
        </w:rPr>
        <w:t>此外，货拉拉在一些偏远地区的配送能力有限，无法满足当地客户的需求。偏远地区的物流需求虽然相对较小，但由于其地理位置偏远、交通不便等原因，物流成本较高。货拉拉在这些地区的运力投入相对较少，导致其在这些地区的配送能力不足。例如，在一些山区或农村地区，货拉拉的车辆可能无法进入，或者需要花费更多的时间和成本才能完成配送任务。这不仅影响了用户的体验，也限制了货拉拉在这些地区的业务发展。</w:t>
      </w:r>
    </w:p>
    <w:p w14:paraId="790D56DD">
      <w:pPr>
        <w:spacing w:line="300" w:lineRule="auto"/>
        <w:ind w:firstLine="480" w:firstLineChars="200"/>
        <w:rPr>
          <w:rFonts w:hint="eastAsia" w:ascii="宋体" w:hAnsi="宋体" w:cs="宋体"/>
          <w:bCs/>
          <w:color w:val="auto"/>
          <w:sz w:val="24"/>
          <w:lang w:bidi="en-US"/>
        </w:rPr>
      </w:pPr>
      <w:r>
        <w:rPr>
          <w:rFonts w:hint="eastAsia" w:ascii="宋体" w:hAnsi="宋体" w:cs="宋体"/>
          <w:bCs/>
          <w:color w:val="auto"/>
          <w:sz w:val="24"/>
          <w:lang w:val="en-US" w:eastAsia="zh-CN" w:bidi="en-US"/>
        </w:rPr>
        <w:t>2、</w:t>
      </w:r>
      <w:r>
        <w:rPr>
          <w:rFonts w:hint="eastAsia" w:ascii="宋体" w:hAnsi="宋体" w:cs="宋体"/>
          <w:bCs/>
          <w:color w:val="auto"/>
          <w:sz w:val="24"/>
          <w:lang w:bidi="en-US"/>
        </w:rPr>
        <w:t>服务个性化不足</w:t>
      </w:r>
    </w:p>
    <w:p w14:paraId="315D5FBB">
      <w:pPr>
        <w:spacing w:line="300" w:lineRule="auto"/>
        <w:ind w:firstLine="480" w:firstLineChars="200"/>
        <w:rPr>
          <w:rFonts w:hint="eastAsia" w:ascii="宋体" w:hAnsi="宋体" w:cs="宋体"/>
          <w:bCs/>
          <w:color w:val="auto"/>
          <w:sz w:val="24"/>
          <w:lang w:bidi="en-US"/>
        </w:rPr>
      </w:pPr>
      <w:r>
        <w:rPr>
          <w:rFonts w:hint="eastAsia" w:ascii="宋体" w:hAnsi="宋体" w:cs="宋体"/>
          <w:bCs/>
          <w:color w:val="auto"/>
          <w:sz w:val="24"/>
          <w:lang w:bidi="en-US"/>
        </w:rPr>
        <w:t>货拉拉的服务虽然全面，但在个性化方面仍有提升空间。目前，货拉拉的服务主要以标准化为主，缺乏针对不同客户群体的个性化服务。在物流行业中，不同的客户群体对物流服务的需求是不同的。例如，对于高价值商品的运输，客户可能需要更高级别的安全保障和保险服务；对于生鲜产品的运输，客户可能需要更严格的温度控制和保鲜措施。然而，货拉拉在这些方面的服务还不够完善，无法满足不同客户群体的个性化需求。</w:t>
      </w:r>
    </w:p>
    <w:p w14:paraId="5A5D4E70">
      <w:pPr>
        <w:spacing w:line="300" w:lineRule="auto"/>
        <w:ind w:firstLine="480" w:firstLineChars="200"/>
        <w:rPr>
          <w:rFonts w:hint="eastAsia" w:ascii="宋体" w:hAnsi="宋体" w:cs="宋体"/>
          <w:bCs/>
          <w:color w:val="auto"/>
          <w:sz w:val="24"/>
          <w:lang w:bidi="en-US"/>
        </w:rPr>
      </w:pPr>
      <w:r>
        <w:rPr>
          <w:rFonts w:hint="eastAsia" w:ascii="宋体" w:hAnsi="宋体" w:cs="宋体"/>
          <w:bCs/>
          <w:color w:val="auto"/>
          <w:sz w:val="24"/>
          <w:lang w:bidi="en-US"/>
        </w:rPr>
        <w:t>以高价值商品的运输为例，这类商品的价值较高，一旦在运输过程中出现损坏或丢失，会给客户带来巨大的经济损失。因此，客户对这类商品的运输安全要求非常高。货拉拉虽然提供了一些基本的安全保障措施，如车辆保险、司机培训等，但对于高价值商品的运输，这些措施可能还不够。客户可能需要更高级别的安全保障，如专业的安保人员随车押运、车辆的实时监控等。然而，货拉拉目前在这些方面的服务还比较有限，无法满足客户的需求。</w:t>
      </w:r>
    </w:p>
    <w:p w14:paraId="472E7B0F">
      <w:pPr>
        <w:spacing w:line="300" w:lineRule="auto"/>
        <w:ind w:firstLine="480" w:firstLineChars="200"/>
        <w:rPr>
          <w:rFonts w:hint="eastAsia" w:ascii="宋体" w:hAnsi="宋体" w:cs="宋体"/>
          <w:bCs/>
          <w:color w:val="auto"/>
          <w:sz w:val="24"/>
          <w:lang w:bidi="en-US"/>
        </w:rPr>
      </w:pPr>
      <w:r>
        <w:rPr>
          <w:rFonts w:hint="eastAsia" w:ascii="宋体" w:hAnsi="宋体" w:cs="宋体"/>
          <w:bCs/>
          <w:color w:val="auto"/>
          <w:sz w:val="24"/>
          <w:lang w:val="en-US" w:eastAsia="zh-CN" w:bidi="en-US"/>
        </w:rPr>
        <w:t>3、</w:t>
      </w:r>
      <w:r>
        <w:rPr>
          <w:rFonts w:hint="eastAsia" w:ascii="宋体" w:hAnsi="宋体" w:cs="宋体"/>
          <w:bCs/>
          <w:color w:val="auto"/>
          <w:sz w:val="24"/>
          <w:lang w:bidi="en-US"/>
        </w:rPr>
        <w:t>数据利用效率低</w:t>
      </w:r>
    </w:p>
    <w:p w14:paraId="1A56F27F">
      <w:pPr>
        <w:spacing w:line="300" w:lineRule="auto"/>
        <w:ind w:firstLine="480" w:firstLineChars="200"/>
        <w:rPr>
          <w:rFonts w:hint="eastAsia" w:ascii="宋体" w:hAnsi="宋体" w:cs="宋体"/>
          <w:bCs/>
          <w:color w:val="auto"/>
          <w:sz w:val="24"/>
          <w:lang w:bidi="en-US"/>
        </w:rPr>
      </w:pPr>
      <w:r>
        <w:rPr>
          <w:rFonts w:hint="eastAsia" w:ascii="宋体" w:hAnsi="宋体" w:cs="宋体"/>
          <w:bCs/>
          <w:color w:val="auto"/>
          <w:sz w:val="24"/>
          <w:lang w:bidi="en-US"/>
        </w:rPr>
        <w:t>货拉拉虽然拥有大量的物流数据，但在数据利用方面效率较低。在当今数字化时代，数据已经成为企业的重要资产之一。物流行业也不例外，物流数据可以为企业提供很多有价值的信息，如客户需求、运输路线、车辆状态等。然而，货拉拉在数据利用方面还存在一些问题。</w:t>
      </w:r>
    </w:p>
    <w:p w14:paraId="28A833B2">
      <w:pPr>
        <w:spacing w:line="300" w:lineRule="auto"/>
        <w:ind w:firstLine="480" w:firstLineChars="200"/>
        <w:rPr>
          <w:rFonts w:hint="eastAsia" w:ascii="宋体" w:hAnsi="宋体" w:eastAsia="宋体" w:cs="Times New Roman"/>
          <w:color w:val="auto"/>
          <w:sz w:val="24"/>
        </w:rPr>
      </w:pPr>
      <w:r>
        <w:rPr>
          <w:rFonts w:hint="eastAsia" w:ascii="宋体" w:hAnsi="宋体" w:cs="宋体"/>
          <w:bCs/>
          <w:color w:val="auto"/>
          <w:sz w:val="24"/>
          <w:lang w:bidi="en-US"/>
        </w:rPr>
        <w:t>货拉拉的数据主要集中在订单管理、运输跟踪和仓储管理等方面，对于数据的深度挖掘和分析不足。例如，货拉拉可以通过数据分析优化配送路线，提高运输效率，降低运输成本。然而，目前其在这一方面的应用还不够广泛</w:t>
      </w:r>
      <w:r>
        <w:rPr>
          <w:rFonts w:hint="eastAsia" w:ascii="宋体" w:hAnsi="宋体" w:eastAsia="宋体" w:cs="Times New Roman"/>
          <w:color w:val="auto"/>
          <w:sz w:val="24"/>
        </w:rPr>
        <w:t>。</w:t>
      </w:r>
    </w:p>
    <w:p w14:paraId="50DF315D">
      <w:pPr>
        <w:spacing w:line="300" w:lineRule="auto"/>
        <w:ind w:firstLine="480" w:firstLineChars="200"/>
        <w:rPr>
          <w:rFonts w:hint="eastAsia" w:ascii="宋体" w:hAnsi="宋体" w:eastAsia="宋体" w:cs="Times New Roman"/>
          <w:color w:val="auto"/>
          <w:sz w:val="24"/>
        </w:rPr>
      </w:pPr>
    </w:p>
    <w:p w14:paraId="41755A1B">
      <w:pPr>
        <w:spacing w:line="300" w:lineRule="auto"/>
        <w:ind w:firstLine="480" w:firstLineChars="200"/>
        <w:rPr>
          <w:rFonts w:hint="eastAsia" w:ascii="宋体" w:hAnsi="宋体" w:eastAsia="宋体" w:cs="Times New Roman"/>
          <w:color w:val="auto"/>
          <w:sz w:val="24"/>
        </w:rPr>
      </w:pPr>
    </w:p>
    <w:p w14:paraId="20453C46">
      <w:pPr>
        <w:pStyle w:val="2"/>
        <w:keepNext/>
        <w:keepLines/>
        <w:pageBreakBefore/>
        <w:widowControl w:val="0"/>
        <w:kinsoku/>
        <w:wordWrap/>
        <w:overflowPunct/>
        <w:topLinePunct w:val="0"/>
        <w:autoSpaceDE/>
        <w:autoSpaceDN/>
        <w:bidi w:val="0"/>
        <w:adjustRightInd/>
        <w:snapToGrid/>
        <w:spacing w:before="156" w:beforeLines="50" w:after="156" w:afterLines="50" w:line="300" w:lineRule="auto"/>
        <w:jc w:val="center"/>
        <w:textAlignment w:val="auto"/>
        <w:rPr>
          <w:rFonts w:hint="eastAsia" w:ascii="黑体" w:hAnsi="黑体" w:eastAsia="黑体"/>
          <w:b w:val="0"/>
          <w:bCs w:val="0"/>
          <w:color w:val="auto"/>
          <w:sz w:val="30"/>
          <w:szCs w:val="30"/>
        </w:rPr>
      </w:pPr>
      <w:bookmarkStart w:id="9" w:name="_Toc6124"/>
      <w:r>
        <w:rPr>
          <w:rFonts w:hint="eastAsia" w:ascii="黑体" w:hAnsi="黑体" w:eastAsia="黑体"/>
          <w:b w:val="0"/>
          <w:bCs w:val="0"/>
          <w:color w:val="auto"/>
          <w:sz w:val="30"/>
          <w:szCs w:val="30"/>
        </w:rPr>
        <w:t>第三章 货拉拉物流配送及服务创新方案</w:t>
      </w:r>
      <w:bookmarkEnd w:id="9"/>
    </w:p>
    <w:p w14:paraId="1F6C1073">
      <w:pPr>
        <w:spacing w:before="156" w:beforeLines="50" w:line="300" w:lineRule="auto"/>
        <w:rPr>
          <w:rStyle w:val="21"/>
          <w:rFonts w:hint="eastAsia" w:ascii="黑体" w:hAnsi="黑体" w:eastAsia="黑体" w:cs="宋体"/>
          <w:b w:val="0"/>
          <w:color w:val="auto"/>
          <w:szCs w:val="28"/>
        </w:rPr>
      </w:pPr>
      <w:bookmarkStart w:id="10" w:name="_Toc22539"/>
      <w:r>
        <w:rPr>
          <w:rStyle w:val="21"/>
          <w:rFonts w:hint="eastAsia" w:ascii="黑体" w:hAnsi="黑体" w:eastAsia="黑体" w:cs="宋体"/>
          <w:b w:val="0"/>
          <w:color w:val="auto"/>
          <w:szCs w:val="28"/>
        </w:rPr>
        <w:t>3.1 构建智能化配送网络</w:t>
      </w:r>
    </w:p>
    <w:bookmarkEnd w:id="10"/>
    <w:p w14:paraId="09C01206">
      <w:pPr>
        <w:spacing w:line="300" w:lineRule="auto"/>
        <w:ind w:firstLine="480" w:firstLineChars="200"/>
        <w:rPr>
          <w:rFonts w:hint="eastAsia" w:ascii="宋体" w:hAnsi="宋体" w:eastAsia="宋体" w:cs="Times New Roman"/>
          <w:color w:val="auto"/>
          <w:sz w:val="24"/>
        </w:rPr>
      </w:pPr>
      <w:r>
        <w:rPr>
          <w:rFonts w:hint="eastAsia" w:ascii="宋体" w:hAnsi="宋体" w:eastAsia="宋体" w:cs="Times New Roman"/>
          <w:color w:val="auto"/>
          <w:sz w:val="24"/>
        </w:rPr>
        <w:t>智能化配送网络是货拉拉物流配送及服务创新的重要方向。通过引入物联网、人工智能和大数据技术，货拉拉可以实现配送网络的智能化管理和优化。智能化配送网络可以实时监控货物的位置和状态，自动调整配送路线，优化配送计划，提高配送效率和准确性。智能化配送网络还可以通过数据分析预测客户需求，提前安排库存和配送资源，减少客户的等待时间。此外，智能化配送网络还可以通过智能设备实现无人配送和自动化仓储管理，进一步提高运营效率和降低成本。</w:t>
      </w:r>
    </w:p>
    <w:p w14:paraId="745C7773">
      <w:pPr>
        <w:spacing w:line="300" w:lineRule="auto"/>
        <w:ind w:firstLine="480" w:firstLineChars="200"/>
        <w:rPr>
          <w:rFonts w:hint="eastAsia" w:ascii="宋体" w:hAnsi="宋体" w:eastAsia="宋体" w:cs="Times New Roman"/>
          <w:color w:val="auto"/>
          <w:sz w:val="24"/>
        </w:rPr>
      </w:pPr>
      <w:r>
        <w:rPr>
          <w:rFonts w:hint="eastAsia" w:ascii="宋体" w:hAnsi="宋体" w:eastAsia="宋体" w:cs="Times New Roman"/>
          <w:color w:val="auto"/>
          <w:sz w:val="24"/>
        </w:rPr>
        <w:t>物联网技术的应用：通过在货物和运输工具上安装传感器，货拉拉可以实时获取货物的位置、状态和运输环境信息。这些信息可以通过物联网平台传输到货拉拉的物流管理系统，实现对货物运输过程的全程监控。例如，通过温度传感器和湿度传感器，货拉拉可以实时监控生鲜产品的运输环境，确保货物在运输过程中的品质不受影响。</w:t>
      </w:r>
    </w:p>
    <w:p w14:paraId="1C335912">
      <w:pPr>
        <w:spacing w:line="300" w:lineRule="auto"/>
        <w:ind w:firstLine="480" w:firstLineChars="200"/>
        <w:rPr>
          <w:rFonts w:hint="eastAsia" w:ascii="宋体" w:hAnsi="宋体" w:eastAsia="宋体" w:cs="Times New Roman"/>
          <w:color w:val="auto"/>
          <w:sz w:val="24"/>
        </w:rPr>
      </w:pPr>
      <w:r>
        <w:rPr>
          <w:rFonts w:hint="eastAsia" w:ascii="宋体" w:hAnsi="宋体" w:eastAsia="宋体" w:cs="Times New Roman"/>
          <w:color w:val="auto"/>
          <w:sz w:val="24"/>
        </w:rPr>
        <w:t>人工智能技术的应用：货拉拉可以利用人工智能技术对物流数据进行深度分析和挖掘。通过机器学习算法，货拉拉可以预测客户需求，优化配送路线，提高库存管理水平。例如，通过分析历史订单数据和实时交通信息，货拉拉可以预测某个区域的订单量，提前调整配送资源，减少客户的等待时间。</w:t>
      </w:r>
    </w:p>
    <w:p w14:paraId="2C51C94F">
      <w:pPr>
        <w:spacing w:line="300" w:lineRule="auto"/>
        <w:ind w:firstLine="480" w:firstLineChars="200"/>
        <w:rPr>
          <w:rFonts w:hint="eastAsia" w:ascii="宋体" w:hAnsi="宋体" w:eastAsia="宋体" w:cs="Times New Roman"/>
          <w:color w:val="auto"/>
          <w:sz w:val="24"/>
        </w:rPr>
      </w:pPr>
      <w:r>
        <w:rPr>
          <w:rFonts w:hint="eastAsia" w:ascii="宋体" w:hAnsi="宋体" w:eastAsia="宋体" w:cs="Times New Roman"/>
          <w:color w:val="auto"/>
          <w:sz w:val="24"/>
        </w:rPr>
        <w:t>大数据技术的应用：货拉拉拥有大量的物流数据，通过大数据技术可以实现对这些数据的高效管理和分析。货拉拉可以利用大数据平台对订单数据、运输数据、仓储数据等进行整合和分析，生成有价值的业务洞察。例如，通过分析订单数据，货拉拉可以优化配送计划，提高配送效率；通过分析运输数据，货拉拉可以优化运输路线，降低运输成本。</w:t>
      </w:r>
    </w:p>
    <w:p w14:paraId="04055287">
      <w:pPr>
        <w:spacing w:line="300" w:lineRule="auto"/>
        <w:ind w:firstLine="480" w:firstLineChars="200"/>
        <w:rPr>
          <w:rFonts w:hint="eastAsia" w:ascii="宋体" w:hAnsi="宋体" w:eastAsia="宋体" w:cs="Times New Roman"/>
          <w:color w:val="auto"/>
          <w:sz w:val="24"/>
        </w:rPr>
      </w:pPr>
      <w:r>
        <w:rPr>
          <w:rFonts w:hint="eastAsia" w:ascii="宋体" w:hAnsi="宋体" w:eastAsia="宋体" w:cs="Times New Roman"/>
          <w:color w:val="auto"/>
          <w:sz w:val="24"/>
        </w:rPr>
        <w:t>智能设备的应用：货拉拉可以引入智能设备，如无人机、无人车和自动化仓储设备，实现无人配送和自动化仓储管理。无人机可以用于偏远地区的货物配送，无人车可以用于城市内的最后一公里配送，自动化仓储设备可以提高仓库的运营效率和库存管理水平。例如，货拉拉在某些城市已经开始使用无人车进行最后一公里配送，提高了配送效率和客户体验。</w:t>
      </w:r>
    </w:p>
    <w:p w14:paraId="1A2CE640">
      <w:pPr>
        <w:spacing w:before="156" w:beforeLines="50" w:line="300" w:lineRule="auto"/>
        <w:rPr>
          <w:rStyle w:val="21"/>
          <w:rFonts w:hint="eastAsia" w:ascii="黑体" w:hAnsi="黑体" w:eastAsia="黑体" w:cs="宋体"/>
          <w:b w:val="0"/>
          <w:color w:val="auto"/>
          <w:szCs w:val="28"/>
        </w:rPr>
      </w:pPr>
      <w:bookmarkStart w:id="11" w:name="_Toc23772"/>
      <w:r>
        <w:rPr>
          <w:rStyle w:val="21"/>
          <w:rFonts w:hint="eastAsia" w:ascii="黑体" w:hAnsi="黑体" w:eastAsia="黑体" w:cs="宋体"/>
          <w:b w:val="0"/>
          <w:color w:val="auto"/>
          <w:szCs w:val="28"/>
        </w:rPr>
        <w:t>3.2 大数据驱动的精准服务</w:t>
      </w:r>
    </w:p>
    <w:bookmarkEnd w:id="11"/>
    <w:p w14:paraId="249CCFBD">
      <w:pPr>
        <w:spacing w:line="300" w:lineRule="auto"/>
        <w:ind w:firstLine="480" w:firstLineChars="200"/>
        <w:rPr>
          <w:rFonts w:hint="eastAsia" w:ascii="宋体" w:hAnsi="宋体" w:eastAsia="宋体" w:cs="Times New Roman"/>
          <w:color w:val="auto"/>
          <w:sz w:val="24"/>
        </w:rPr>
      </w:pPr>
      <w:r>
        <w:rPr>
          <w:rFonts w:hint="eastAsia" w:ascii="宋体" w:hAnsi="宋体" w:eastAsia="宋体" w:cs="Times New Roman"/>
          <w:color w:val="auto"/>
          <w:sz w:val="24"/>
        </w:rPr>
        <w:t>大数据是货拉拉物流配送及服务创新的重要支撑。通过收集和分析大量的物流数据，货拉拉可以实现精准服务，满足不同客户的需求。大数据驱动的精准服务不仅可以提升客户满意度，还能优化运营效率，增强市场竞争力。</w:t>
      </w:r>
    </w:p>
    <w:p w14:paraId="53D2ED81">
      <w:pPr>
        <w:spacing w:line="300" w:lineRule="auto"/>
        <w:ind w:firstLine="480" w:firstLineChars="200"/>
        <w:rPr>
          <w:rFonts w:hint="eastAsia" w:ascii="宋体" w:hAnsi="宋体" w:eastAsia="宋体" w:cs="Times New Roman"/>
          <w:color w:val="auto"/>
          <w:sz w:val="24"/>
        </w:rPr>
      </w:pPr>
      <w:r>
        <w:rPr>
          <w:rFonts w:hint="eastAsia" w:ascii="宋体" w:hAnsi="宋体" w:eastAsia="宋体" w:cs="Times New Roman"/>
          <w:color w:val="auto"/>
          <w:sz w:val="24"/>
        </w:rPr>
        <w:t>客户需求分析与个性化服务</w:t>
      </w:r>
      <w:r>
        <w:rPr>
          <w:rFonts w:hint="eastAsia" w:ascii="宋体" w:hAnsi="宋体" w:eastAsia="宋体" w:cs="Times New Roman"/>
          <w:color w:val="auto"/>
          <w:sz w:val="24"/>
          <w:lang w:eastAsia="zh-CN"/>
        </w:rPr>
        <w:t>：</w:t>
      </w:r>
      <w:r>
        <w:rPr>
          <w:rFonts w:hint="eastAsia" w:ascii="宋体" w:hAnsi="宋体" w:eastAsia="宋体" w:cs="Times New Roman"/>
          <w:color w:val="auto"/>
          <w:sz w:val="24"/>
        </w:rPr>
        <w:t>货拉拉可以通过大数据技术对客户的订单历史、偏好、行为模式等进行深度分析，从而精准把握不同客户群体的需求特点。例如，通过分析客户的订单频率、货物类型、运输时间等数据，货拉拉可以为客户提供个性化的服务方案。对于经常运输高价值商品的客户，货拉拉可以提供定制化的安全保障服务，如增加保险额度、配备专业安保人员等。对于生鲜产品运输客户，货拉拉可以提供更严格的温度控制和保鲜措施，确保货物在运输过程中的品质。</w:t>
      </w:r>
    </w:p>
    <w:p w14:paraId="6CD05460">
      <w:pPr>
        <w:spacing w:line="300" w:lineRule="auto"/>
        <w:ind w:firstLine="480" w:firstLineChars="200"/>
        <w:rPr>
          <w:rFonts w:hint="eastAsia" w:ascii="宋体" w:hAnsi="宋体" w:eastAsia="宋体" w:cs="Times New Roman"/>
          <w:color w:val="auto"/>
          <w:sz w:val="24"/>
        </w:rPr>
      </w:pPr>
      <w:r>
        <w:rPr>
          <w:rFonts w:hint="eastAsia" w:ascii="宋体" w:hAnsi="宋体" w:eastAsia="宋体" w:cs="Times New Roman"/>
          <w:color w:val="auto"/>
          <w:sz w:val="24"/>
        </w:rPr>
        <w:t>此外，货拉拉还可以通过大数据分析预测客户的潜在需求，提前为客户提供服务。例如，通过分析客户的订单数据和市场趋势，货拉拉可以预测客户未来可能需要的货物类型和运输时间，提前安排运力和库存，减少客户的等待时间。</w:t>
      </w:r>
    </w:p>
    <w:p w14:paraId="5F381820">
      <w:pPr>
        <w:spacing w:line="300" w:lineRule="auto"/>
        <w:ind w:firstLine="480" w:firstLineChars="200"/>
        <w:rPr>
          <w:rFonts w:hint="eastAsia" w:ascii="宋体" w:hAnsi="宋体" w:eastAsia="宋体" w:cs="Times New Roman"/>
          <w:color w:val="auto"/>
          <w:sz w:val="24"/>
        </w:rPr>
      </w:pPr>
      <w:r>
        <w:rPr>
          <w:rFonts w:hint="eastAsia" w:ascii="宋体" w:hAnsi="宋体" w:eastAsia="宋体" w:cs="Times New Roman"/>
          <w:color w:val="auto"/>
          <w:sz w:val="24"/>
        </w:rPr>
        <w:t>数据驱动的运营优化</w:t>
      </w:r>
      <w:r>
        <w:rPr>
          <w:rFonts w:hint="eastAsia" w:ascii="宋体" w:hAnsi="宋体" w:eastAsia="宋体" w:cs="Times New Roman"/>
          <w:color w:val="auto"/>
          <w:sz w:val="24"/>
          <w:lang w:eastAsia="zh-CN"/>
        </w:rPr>
        <w:t>：</w:t>
      </w:r>
      <w:r>
        <w:rPr>
          <w:rFonts w:hint="eastAsia" w:ascii="宋体" w:hAnsi="宋体" w:eastAsia="宋体" w:cs="Times New Roman"/>
          <w:color w:val="auto"/>
          <w:sz w:val="24"/>
        </w:rPr>
        <w:t>大数据不仅可以用于个性化服务，还可以用于优化货拉拉的运营流程。通过对运输数据、订单数据和仓储数据的分析，货拉拉可以优化配送路线、提高库存管理水平、降低运输成本。例如，通过分析实时交通信息和历史订单数据，货拉拉可以动态调整配送路线，避开拥堵路段，提高配送效率。通过对仓储数据的分析，货拉拉可以优化库存布局，减少库存积压和缺货现象。</w:t>
      </w:r>
    </w:p>
    <w:p w14:paraId="3F6FCA76">
      <w:pPr>
        <w:spacing w:before="156" w:beforeLines="50" w:line="300" w:lineRule="auto"/>
        <w:rPr>
          <w:rStyle w:val="21"/>
          <w:rFonts w:hint="eastAsia" w:ascii="黑体" w:hAnsi="黑体" w:eastAsia="黑体" w:cs="宋体"/>
          <w:b w:val="0"/>
          <w:color w:val="auto"/>
          <w:szCs w:val="28"/>
        </w:rPr>
      </w:pPr>
      <w:bookmarkStart w:id="12" w:name="_Toc21392"/>
      <w:r>
        <w:rPr>
          <w:rStyle w:val="21"/>
          <w:rFonts w:hint="eastAsia" w:ascii="黑体" w:hAnsi="黑体" w:eastAsia="黑体" w:cs="宋体"/>
          <w:b w:val="0"/>
          <w:color w:val="auto"/>
          <w:szCs w:val="28"/>
        </w:rPr>
        <w:t>3.3 提升客户体验</w:t>
      </w:r>
    </w:p>
    <w:bookmarkEnd w:id="12"/>
    <w:p w14:paraId="70085E2B">
      <w:pPr>
        <w:spacing w:line="300" w:lineRule="auto"/>
        <w:ind w:firstLine="480" w:firstLineChars="200"/>
        <w:rPr>
          <w:rFonts w:hint="eastAsia" w:ascii="宋体" w:hAnsi="宋体" w:eastAsia="宋体" w:cs="Times New Roman"/>
          <w:color w:val="auto"/>
          <w:sz w:val="24"/>
        </w:rPr>
      </w:pPr>
      <w:r>
        <w:rPr>
          <w:rFonts w:hint="eastAsia" w:ascii="宋体" w:hAnsi="宋体" w:eastAsia="宋体" w:cs="Times New Roman"/>
          <w:color w:val="auto"/>
          <w:sz w:val="24"/>
        </w:rPr>
        <w:t>客户体验是物流服务的核心，货拉拉应通过多种方式提升客户体验，增强客户忠诚度。</w:t>
      </w:r>
    </w:p>
    <w:p w14:paraId="0F2CC9A7">
      <w:pPr>
        <w:spacing w:line="300" w:lineRule="auto"/>
        <w:ind w:firstLine="480" w:firstLineChars="200"/>
        <w:rPr>
          <w:rFonts w:hint="eastAsia" w:ascii="宋体" w:hAnsi="宋体" w:eastAsia="宋体" w:cs="Times New Roman"/>
          <w:color w:val="auto"/>
          <w:sz w:val="24"/>
        </w:rPr>
      </w:pPr>
      <w:r>
        <w:rPr>
          <w:rFonts w:hint="eastAsia" w:ascii="宋体" w:hAnsi="宋体" w:eastAsia="宋体" w:cs="Times New Roman"/>
          <w:color w:val="auto"/>
          <w:sz w:val="24"/>
        </w:rPr>
        <w:t>实时跟踪与信息透明化</w:t>
      </w:r>
      <w:r>
        <w:rPr>
          <w:rFonts w:hint="eastAsia" w:ascii="宋体" w:hAnsi="宋体" w:eastAsia="宋体" w:cs="Times New Roman"/>
          <w:color w:val="auto"/>
          <w:sz w:val="24"/>
          <w:lang w:eastAsia="zh-CN"/>
        </w:rPr>
        <w:t>：</w:t>
      </w:r>
      <w:r>
        <w:rPr>
          <w:rFonts w:hint="eastAsia" w:ascii="宋体" w:hAnsi="宋体" w:eastAsia="宋体" w:cs="Times New Roman"/>
          <w:color w:val="auto"/>
          <w:sz w:val="24"/>
        </w:rPr>
        <w:t>货拉拉可以通过移动互联网技术，为客户提供实时的订单跟踪和信息透明化服务。客户可以通过手机应用随时查看货物的位置、运输状态和预计到达时间，增强对物流过程的掌控感。此外，货拉拉还可以通过短信、邮件等方式及时通知客户订单的最新状态，提高客户的满意度。</w:t>
      </w:r>
    </w:p>
    <w:p w14:paraId="3DDFD8A6">
      <w:pPr>
        <w:spacing w:line="300" w:lineRule="auto"/>
        <w:ind w:firstLine="480" w:firstLineChars="200"/>
        <w:rPr>
          <w:rFonts w:hint="eastAsia" w:ascii="宋体" w:hAnsi="宋体" w:eastAsia="宋体" w:cs="Times New Roman"/>
          <w:color w:val="auto"/>
          <w:sz w:val="24"/>
        </w:rPr>
      </w:pPr>
      <w:r>
        <w:rPr>
          <w:rFonts w:hint="eastAsia" w:ascii="宋体" w:hAnsi="宋体" w:eastAsia="宋体" w:cs="Times New Roman"/>
          <w:color w:val="auto"/>
          <w:sz w:val="24"/>
        </w:rPr>
        <w:t>客户服务的优化</w:t>
      </w:r>
      <w:r>
        <w:rPr>
          <w:rFonts w:hint="eastAsia" w:ascii="宋体" w:hAnsi="宋体" w:eastAsia="宋体" w:cs="Times New Roman"/>
          <w:color w:val="auto"/>
          <w:sz w:val="24"/>
          <w:lang w:eastAsia="zh-CN"/>
        </w:rPr>
        <w:t>：</w:t>
      </w:r>
      <w:r>
        <w:rPr>
          <w:rFonts w:hint="eastAsia" w:ascii="宋体" w:hAnsi="宋体" w:eastAsia="宋体" w:cs="Times New Roman"/>
          <w:color w:val="auto"/>
          <w:sz w:val="24"/>
        </w:rPr>
        <w:t>货拉拉可以通过优化客户服务，提升客户体验。例如，货拉拉可以建立专业的客服团队，提供 24 小时在线服务，及时解决客户的问题和投诉。此外，货拉拉还可以通过客户反馈机制，收集客户的建议和意见，不断优化服务流程和质量。</w:t>
      </w:r>
    </w:p>
    <w:p w14:paraId="5EBF75C4">
      <w:pPr>
        <w:spacing w:line="300" w:lineRule="auto"/>
        <w:ind w:firstLine="480" w:firstLineChars="200"/>
        <w:rPr>
          <w:rFonts w:ascii="宋体" w:hAnsi="宋体" w:eastAsia="宋体" w:cs="Times New Roman"/>
          <w:color w:val="auto"/>
          <w:sz w:val="24"/>
        </w:rPr>
      </w:pPr>
      <w:r>
        <w:rPr>
          <w:rFonts w:hint="eastAsia" w:ascii="宋体" w:hAnsi="宋体" w:eastAsia="宋体" w:cs="Times New Roman"/>
          <w:color w:val="auto"/>
          <w:sz w:val="24"/>
        </w:rPr>
        <w:t>增值服务的提供</w:t>
      </w:r>
      <w:r>
        <w:rPr>
          <w:rFonts w:hint="eastAsia" w:ascii="宋体" w:hAnsi="宋体" w:eastAsia="宋体" w:cs="Times New Roman"/>
          <w:color w:val="auto"/>
          <w:sz w:val="24"/>
          <w:lang w:eastAsia="zh-CN"/>
        </w:rPr>
        <w:t>：</w:t>
      </w:r>
      <w:r>
        <w:rPr>
          <w:rFonts w:hint="eastAsia" w:ascii="宋体" w:hAnsi="宋体" w:eastAsia="宋体" w:cs="Times New Roman"/>
          <w:color w:val="auto"/>
          <w:sz w:val="24"/>
        </w:rPr>
        <w:t>货拉拉可以提供一些增值服务，满足客户的多样化需求。例如，货拉拉可以提供货物包装、装卸、搬运等增值服务，为客户提供一站式的物流解决方案。此外，货拉拉还可以提供物流金融、保险等增值服务，帮助客户解决资金和风险问题。</w:t>
      </w:r>
    </w:p>
    <w:p w14:paraId="2FF01870">
      <w:pPr>
        <w:pStyle w:val="2"/>
        <w:keepNext/>
        <w:keepLines/>
        <w:pageBreakBefore/>
        <w:widowControl w:val="0"/>
        <w:kinsoku/>
        <w:wordWrap/>
        <w:overflowPunct/>
        <w:topLinePunct w:val="0"/>
        <w:autoSpaceDE/>
        <w:autoSpaceDN/>
        <w:bidi w:val="0"/>
        <w:adjustRightInd/>
        <w:snapToGrid/>
        <w:spacing w:before="156" w:beforeLines="50" w:after="156" w:afterLines="50" w:line="300" w:lineRule="auto"/>
        <w:jc w:val="center"/>
        <w:textAlignment w:val="auto"/>
        <w:rPr>
          <w:rFonts w:hint="eastAsia" w:ascii="黑体" w:hAnsi="黑体" w:eastAsia="黑体"/>
          <w:b w:val="0"/>
          <w:bCs w:val="0"/>
          <w:color w:val="auto"/>
          <w:sz w:val="30"/>
          <w:szCs w:val="30"/>
        </w:rPr>
      </w:pPr>
      <w:bookmarkStart w:id="13" w:name="_Toc8685"/>
      <w:r>
        <w:rPr>
          <w:rFonts w:hint="eastAsia" w:ascii="黑体" w:hAnsi="黑体" w:eastAsia="黑体"/>
          <w:b w:val="0"/>
          <w:bCs w:val="0"/>
          <w:color w:val="auto"/>
          <w:sz w:val="30"/>
          <w:szCs w:val="30"/>
        </w:rPr>
        <w:t>第四章 货拉拉物流配送及服务创新的实施策略</w:t>
      </w:r>
      <w:bookmarkEnd w:id="13"/>
    </w:p>
    <w:p w14:paraId="0366FAA3">
      <w:pPr>
        <w:spacing w:before="156" w:beforeLines="50" w:line="300" w:lineRule="auto"/>
        <w:rPr>
          <w:rStyle w:val="21"/>
          <w:rFonts w:hint="eastAsia" w:ascii="黑体" w:hAnsi="黑体" w:eastAsia="黑体" w:cs="宋体"/>
          <w:b w:val="0"/>
          <w:color w:val="auto"/>
          <w:szCs w:val="28"/>
        </w:rPr>
      </w:pPr>
      <w:bookmarkStart w:id="14" w:name="_Toc6555"/>
      <w:r>
        <w:rPr>
          <w:rStyle w:val="21"/>
          <w:rFonts w:hint="eastAsia" w:ascii="黑体" w:hAnsi="黑体" w:eastAsia="黑体" w:cs="宋体"/>
          <w:b w:val="0"/>
          <w:color w:val="auto"/>
          <w:szCs w:val="28"/>
        </w:rPr>
        <w:t>4.1 技术支持</w:t>
      </w:r>
    </w:p>
    <w:bookmarkEnd w:id="14"/>
    <w:p w14:paraId="176460C1">
      <w:pPr>
        <w:spacing w:line="300" w:lineRule="auto"/>
        <w:ind w:firstLine="480" w:firstLineChars="200"/>
        <w:rPr>
          <w:rFonts w:hint="eastAsia" w:ascii="宋体" w:hAnsi="宋体" w:eastAsia="宋体" w:cs="Times New Roman"/>
          <w:color w:val="auto"/>
          <w:sz w:val="24"/>
        </w:rPr>
      </w:pPr>
      <w:r>
        <w:rPr>
          <w:rFonts w:hint="eastAsia" w:ascii="宋体" w:hAnsi="宋体" w:eastAsia="宋体" w:cs="Times New Roman"/>
          <w:color w:val="auto"/>
          <w:sz w:val="24"/>
        </w:rPr>
        <w:t>技术创新是货拉拉物流配送及服务创新的基础。在当今快速发展的科技时代，物流行业正经历着前所未有的变革，而技术创新正是推动这一变革的核心动力。货拉拉应加大对技术研发的投入，引进先进的物流技术和设备，提升运营效率和服务质量。技术的先进性不仅能够提高货拉拉的市场竞争力，还能为客户提供更优质的服务体验。</w:t>
      </w:r>
    </w:p>
    <w:p w14:paraId="02F3F435">
      <w:pPr>
        <w:spacing w:line="300" w:lineRule="auto"/>
        <w:ind w:firstLine="480" w:firstLineChars="200"/>
        <w:rPr>
          <w:rFonts w:hint="eastAsia" w:ascii="宋体" w:hAnsi="宋体" w:eastAsia="宋体" w:cs="Times New Roman"/>
          <w:color w:val="auto"/>
          <w:sz w:val="24"/>
        </w:rPr>
      </w:pPr>
      <w:r>
        <w:rPr>
          <w:rFonts w:hint="eastAsia" w:ascii="宋体" w:hAnsi="宋体" w:eastAsia="宋体" w:cs="Times New Roman"/>
          <w:color w:val="auto"/>
          <w:sz w:val="24"/>
        </w:rPr>
        <w:t>智能化物流管理系统：货拉拉可以与科技企业合作，共同研发智能化物流管理系统。这一系统将集成物联网、人工智能和大数据技术，实现从订单管理到货物配送的全流程智能化管理。通过物联网技术，货拉拉可以实时监控货物的位置和状态，确保货物在运输过程中的安全性和准时性。人工智能技术则可以用于优化配送路线和调度计划，根据实时交通状况和订单需求动态调整运输路径，提高配送效率。</w:t>
      </w:r>
    </w:p>
    <w:p w14:paraId="4D9AFFCF">
      <w:pPr>
        <w:spacing w:line="300" w:lineRule="auto"/>
        <w:ind w:firstLine="480" w:firstLineChars="200"/>
        <w:rPr>
          <w:rFonts w:hint="eastAsia" w:ascii="宋体" w:hAnsi="宋体" w:eastAsia="宋体" w:cs="Times New Roman"/>
          <w:color w:val="auto"/>
          <w:sz w:val="24"/>
        </w:rPr>
      </w:pPr>
      <w:r>
        <w:rPr>
          <w:rFonts w:hint="eastAsia" w:ascii="宋体" w:hAnsi="宋体" w:eastAsia="宋体" w:cs="Times New Roman"/>
          <w:color w:val="auto"/>
          <w:sz w:val="24"/>
        </w:rPr>
        <w:t>大数据分析平台：大数据分析平台是货拉拉提升服务质量和运营效率的关键工具。通过收集和分析海量的物流数据，货拉拉可以深入了解客户需求，预测市场趋势，优化库存管理和服务流程。例如，通过对历史订单数据和实时交通信息的分析，货拉拉可以预测某个区域的订单量，提前安排运力和库存，减少客户的等待时间。此外，大数据分析还可以帮助货拉拉识别潜在的风险和问题，及时采取措施进行优化和改进。</w:t>
      </w:r>
    </w:p>
    <w:p w14:paraId="1409B8C5">
      <w:pPr>
        <w:spacing w:line="300" w:lineRule="auto"/>
        <w:ind w:firstLine="480" w:firstLineChars="200"/>
        <w:rPr>
          <w:rFonts w:hint="eastAsia" w:ascii="宋体" w:hAnsi="宋体" w:eastAsia="宋体" w:cs="Times New Roman"/>
          <w:color w:val="auto"/>
          <w:sz w:val="24"/>
        </w:rPr>
      </w:pPr>
      <w:r>
        <w:rPr>
          <w:rFonts w:hint="eastAsia" w:ascii="宋体" w:hAnsi="宋体" w:eastAsia="宋体" w:cs="Times New Roman"/>
          <w:color w:val="auto"/>
          <w:sz w:val="24"/>
        </w:rPr>
        <w:t>绿色物流技术：随着环保意识的增强，绿色物流已成为物流行业的重要发展方向。货拉拉可以引进和研发绿色物流技术，如新能源车辆、环保包装材料和节能仓储设备。新能源车辆不仅具有更低的碳排放，还能降低运营成本。环保包装材料可以减少包装废弃物对环境的影响，提升企业的社会责任感。节能仓储设备则可以优化仓储设施的能源利用效率，降低能源消耗。</w:t>
      </w:r>
    </w:p>
    <w:p w14:paraId="6A513ECE">
      <w:pPr>
        <w:spacing w:line="300" w:lineRule="auto"/>
        <w:ind w:firstLine="480" w:firstLineChars="200"/>
        <w:rPr>
          <w:rFonts w:hint="eastAsia" w:ascii="宋体" w:hAnsi="宋体" w:eastAsia="宋体" w:cs="Times New Roman"/>
          <w:color w:val="auto"/>
          <w:sz w:val="24"/>
        </w:rPr>
      </w:pPr>
      <w:r>
        <w:rPr>
          <w:rFonts w:hint="eastAsia" w:ascii="宋体" w:hAnsi="宋体" w:eastAsia="宋体" w:cs="Times New Roman"/>
          <w:color w:val="auto"/>
          <w:sz w:val="24"/>
        </w:rPr>
        <w:t>技术研发中心：为了提升自身的研发能力，货拉拉可以建立技术研发中心，培养和引进专业技术人才。技术研发中心将专注于物流技术的前沿研究和应用开发，为货拉拉的创新提供技术支持。通过与高校、科研机构和科技企业的合作，货拉拉可以吸引一批优秀的技术人才，共同推动物流技术的创新和发展。</w:t>
      </w:r>
    </w:p>
    <w:p w14:paraId="745617B9">
      <w:pPr>
        <w:spacing w:before="156" w:beforeLines="50" w:line="300" w:lineRule="auto"/>
        <w:rPr>
          <w:rStyle w:val="21"/>
          <w:rFonts w:hint="eastAsia" w:ascii="黑体" w:hAnsi="黑体" w:eastAsia="黑体" w:cs="宋体"/>
          <w:b w:val="0"/>
          <w:color w:val="auto"/>
          <w:szCs w:val="28"/>
        </w:rPr>
      </w:pPr>
      <w:bookmarkStart w:id="15" w:name="_Toc23473"/>
      <w:r>
        <w:rPr>
          <w:rStyle w:val="21"/>
          <w:rFonts w:hint="eastAsia" w:ascii="黑体" w:hAnsi="黑体" w:eastAsia="黑体" w:cs="宋体"/>
          <w:b w:val="0"/>
          <w:color w:val="auto"/>
          <w:szCs w:val="28"/>
        </w:rPr>
        <w:t>4.2 人才培养</w:t>
      </w:r>
    </w:p>
    <w:bookmarkEnd w:id="15"/>
    <w:p w14:paraId="0DDABEAA">
      <w:pPr>
        <w:spacing w:line="300" w:lineRule="auto"/>
        <w:ind w:firstLine="480" w:firstLineChars="200"/>
        <w:rPr>
          <w:rFonts w:hint="eastAsia" w:ascii="宋体" w:hAnsi="宋体" w:eastAsia="宋体" w:cs="Times New Roman"/>
          <w:color w:val="auto"/>
          <w:sz w:val="24"/>
        </w:rPr>
      </w:pPr>
      <w:r>
        <w:rPr>
          <w:rFonts w:hint="eastAsia" w:ascii="宋体" w:hAnsi="宋体" w:eastAsia="宋体" w:cs="Times New Roman"/>
          <w:color w:val="auto"/>
          <w:sz w:val="24"/>
        </w:rPr>
        <w:t>人才是企业发展的核心竞争力。在物流行业竞争日益激烈的今天，高素质的人才队伍是企业实现可持续发展的关键。货拉拉应建立完善的人才培养体系，培养和引进一批高素质的物流人才，以满足企业不断发展的需求。</w:t>
      </w:r>
    </w:p>
    <w:p w14:paraId="0A254218">
      <w:pPr>
        <w:spacing w:line="300" w:lineRule="auto"/>
        <w:ind w:firstLine="480" w:firstLineChars="200"/>
        <w:rPr>
          <w:rFonts w:hint="eastAsia" w:ascii="宋体" w:hAnsi="宋体" w:eastAsia="宋体" w:cs="Times New Roman"/>
          <w:color w:val="auto"/>
          <w:sz w:val="24"/>
        </w:rPr>
      </w:pPr>
      <w:r>
        <w:rPr>
          <w:rFonts w:hint="eastAsia" w:ascii="宋体" w:hAnsi="宋体" w:eastAsia="宋体" w:cs="Times New Roman"/>
          <w:color w:val="auto"/>
          <w:sz w:val="24"/>
        </w:rPr>
        <w:t>产学研合作项目：货拉拉可以与高校和职业院校合作，开展产学研合作项目。通过与高校的合作，货拉拉可以为学生提供实习和就业机会，同时也可以从高校获取前沿的科研成果和技术支持。职业院校则可以为货拉拉培养具有实际操作能力的专业人才。通过产学研合作，货拉拉可以培养物流管理、数据分析、绿色物流等专业人才，为企业的技术创新和服务优化提供人才保障。</w:t>
      </w:r>
    </w:p>
    <w:p w14:paraId="78A2D8C3">
      <w:pPr>
        <w:spacing w:line="300" w:lineRule="auto"/>
        <w:ind w:firstLine="480" w:firstLineChars="200"/>
        <w:rPr>
          <w:rFonts w:hint="eastAsia" w:ascii="宋体" w:hAnsi="宋体" w:eastAsia="宋体" w:cs="Times New Roman"/>
          <w:color w:val="auto"/>
          <w:sz w:val="24"/>
        </w:rPr>
      </w:pPr>
      <w:r>
        <w:rPr>
          <w:rFonts w:hint="eastAsia" w:ascii="宋体" w:hAnsi="宋体" w:eastAsia="宋体" w:cs="Times New Roman"/>
          <w:color w:val="auto"/>
          <w:sz w:val="24"/>
        </w:rPr>
        <w:t>内部培训与外部培训：货拉拉可以通过内部培训和外部培训提升员工的专业技能和综合素质。内部培训可以包括新员工入职培训、岗位技能培训和职业发展规划指导等。通过系统的培训，员工可以更好地了解企业的文化和价值观，掌握岗位所需的专业技能，提升工作效率和服务质量。外部培训则可以邀请行业专家和学者进行专题讲座和培训，帮助员工了解行业动态和前沿技术，拓宽视野，提升综合素质。</w:t>
      </w:r>
    </w:p>
    <w:p w14:paraId="1080CDA7">
      <w:pPr>
        <w:spacing w:line="300" w:lineRule="auto"/>
        <w:ind w:firstLine="480" w:firstLineChars="200"/>
        <w:rPr>
          <w:rFonts w:hint="eastAsia" w:ascii="宋体" w:hAnsi="宋体" w:eastAsia="宋体" w:cs="Times New Roman"/>
          <w:color w:val="auto"/>
          <w:sz w:val="24"/>
        </w:rPr>
      </w:pPr>
      <w:r>
        <w:rPr>
          <w:rFonts w:hint="eastAsia" w:ascii="宋体" w:hAnsi="宋体" w:eastAsia="宋体" w:cs="Times New Roman"/>
          <w:color w:val="auto"/>
          <w:sz w:val="24"/>
        </w:rPr>
        <w:t>职业发展计划：为了留住优秀人才，货拉拉应建立完善的职业发展计划。通过为员工提供明确的职业发展路径和晋升机会，激励员工不断提升自己的能力和业绩。职业发展计划可以包括内部晋升、岗位轮换、跨部门合作等多种形式，为员工提供广阔的发展空间。此外，货拉拉还可以通过绩效考核和激励机制，对优秀员工进行表彰和奖励，激发员工的工作积极性和创造力。</w:t>
      </w:r>
    </w:p>
    <w:p w14:paraId="496AA08C">
      <w:pPr>
        <w:spacing w:before="156" w:beforeLines="50" w:line="300" w:lineRule="auto"/>
        <w:rPr>
          <w:rStyle w:val="21"/>
          <w:rFonts w:hint="eastAsia" w:ascii="黑体" w:hAnsi="黑体" w:eastAsia="黑体" w:cs="宋体"/>
          <w:b w:val="0"/>
          <w:color w:val="auto"/>
          <w:szCs w:val="28"/>
        </w:rPr>
      </w:pPr>
      <w:bookmarkStart w:id="16" w:name="_Toc26048"/>
      <w:r>
        <w:rPr>
          <w:rStyle w:val="21"/>
          <w:rFonts w:hint="eastAsia" w:ascii="黑体" w:hAnsi="黑体" w:eastAsia="黑体" w:cs="宋体"/>
          <w:b w:val="0"/>
          <w:color w:val="auto"/>
          <w:szCs w:val="28"/>
        </w:rPr>
        <w:t>4.3 合作与联盟</w:t>
      </w:r>
    </w:p>
    <w:bookmarkEnd w:id="16"/>
    <w:p w14:paraId="7633F2FC">
      <w:pPr>
        <w:spacing w:line="300" w:lineRule="auto"/>
        <w:ind w:firstLine="480" w:firstLineChars="200"/>
        <w:rPr>
          <w:rFonts w:hint="eastAsia" w:ascii="宋体" w:hAnsi="宋体" w:eastAsia="宋体" w:cs="Times New Roman"/>
          <w:color w:val="auto"/>
          <w:sz w:val="24"/>
        </w:rPr>
      </w:pPr>
      <w:r>
        <w:rPr>
          <w:rFonts w:hint="eastAsia" w:ascii="宋体" w:hAnsi="宋体" w:eastAsia="宋体" w:cs="Times New Roman"/>
          <w:color w:val="auto"/>
          <w:sz w:val="24"/>
        </w:rPr>
        <w:t>合作与联盟是企业实现资源共享和优势互补的重要手段。在物流行业中，企业之间的合作与联盟不仅可以提升企业的竞争力，还可以推动行业的整体发展。货拉拉应积极开展与供应商、合作伙伴和客户的合作与联盟，共同推动物流配送及服务的创新。</w:t>
      </w:r>
    </w:p>
    <w:p w14:paraId="7CF30376">
      <w:pPr>
        <w:spacing w:line="300" w:lineRule="auto"/>
        <w:ind w:firstLine="480" w:firstLineChars="200"/>
        <w:rPr>
          <w:rFonts w:hint="eastAsia" w:ascii="宋体" w:hAnsi="宋体" w:eastAsia="宋体" w:cs="Times New Roman"/>
          <w:color w:val="auto"/>
          <w:sz w:val="24"/>
        </w:rPr>
      </w:pPr>
      <w:r>
        <w:rPr>
          <w:rFonts w:hint="eastAsia" w:ascii="宋体" w:hAnsi="宋体" w:eastAsia="宋体" w:cs="Times New Roman"/>
          <w:color w:val="auto"/>
          <w:sz w:val="24"/>
        </w:rPr>
        <w:t>供应商合作：货拉拉可以与供应商建立长期稳定的合作关系，共同优化供应链管理。通过与供应商的紧密合作，货拉拉可以实现采购成本的降低和库存管理的优化。例如，货拉拉可以与车辆制造商合作，定制符合自身需求的新能源车辆，降低采购成本和运营成本。同时，货拉拉还可以与供应商共享库存数据和需求预测信息，帮助供应商更好地安排生产和库存，减少库存积压和缺货现象。</w:t>
      </w:r>
    </w:p>
    <w:p w14:paraId="492E937B">
      <w:pPr>
        <w:spacing w:line="300" w:lineRule="auto"/>
        <w:ind w:firstLine="480" w:firstLineChars="200"/>
        <w:rPr>
          <w:rFonts w:hint="eastAsia" w:ascii="宋体" w:hAnsi="宋体" w:eastAsia="宋体" w:cs="Times New Roman"/>
          <w:color w:val="auto"/>
          <w:sz w:val="24"/>
        </w:rPr>
      </w:pPr>
      <w:r>
        <w:rPr>
          <w:rFonts w:hint="eastAsia" w:ascii="宋体" w:hAnsi="宋体" w:eastAsia="宋体" w:cs="Times New Roman"/>
          <w:color w:val="auto"/>
          <w:sz w:val="24"/>
        </w:rPr>
        <w:t>合作伙伴战略联盟：货拉拉还可以与合作伙伴建立战略联盟，共同开展技术研发、市场拓展和客户服务。通过与科技企业、物流企业和其他相关企业的合作，货拉拉可以整合各方资源，实现优势互补。例如，货拉拉可以与科技企业合作，共同研发智能化物流管理系统和大数据分析平台；与物流企业合作，共同拓展市场，提升市场份额；与金融机构合作，提供物流金融服务，解决客户的资金问题。</w:t>
      </w:r>
    </w:p>
    <w:p w14:paraId="4D378D45">
      <w:pPr>
        <w:spacing w:line="300" w:lineRule="auto"/>
        <w:ind w:firstLine="480" w:firstLineChars="200"/>
        <w:rPr>
          <w:rFonts w:ascii="宋体" w:hAnsi="宋体" w:eastAsia="宋体" w:cs="Times New Roman"/>
          <w:color w:val="auto"/>
          <w:sz w:val="24"/>
        </w:rPr>
      </w:pPr>
      <w:r>
        <w:rPr>
          <w:rFonts w:hint="eastAsia" w:ascii="宋体" w:hAnsi="宋体" w:eastAsia="宋体" w:cs="Times New Roman"/>
          <w:color w:val="auto"/>
          <w:sz w:val="24"/>
        </w:rPr>
        <w:t>客户合作：货拉拉应重视与客户的合作，通过与客户的紧密合作，了解客户需求，提升服务质量。货拉拉可以建立客户反馈机制，定期收集客户的建议和意见，及时调整和优化服务流程。此外，货拉拉还可以通过与客户的合作，开展定制化的物流服务，满足客户的个性化需求。例如，货拉拉可以为大型企业提供专属的物流解决方案，为其提供一站式的物流服务。</w:t>
      </w:r>
    </w:p>
    <w:p w14:paraId="1A130EC0">
      <w:pPr>
        <w:spacing w:line="300" w:lineRule="auto"/>
        <w:ind w:firstLine="480" w:firstLineChars="200"/>
        <w:rPr>
          <w:rFonts w:ascii="宋体" w:hAnsi="宋体" w:eastAsia="宋体" w:cs="Times New Roman"/>
          <w:color w:val="auto"/>
          <w:sz w:val="24"/>
        </w:rPr>
      </w:pPr>
    </w:p>
    <w:bookmarkEnd w:id="5"/>
    <w:p w14:paraId="2AB6F36C">
      <w:pPr>
        <w:keepNext/>
        <w:keepLines/>
        <w:pageBreakBefore/>
        <w:widowControl w:val="0"/>
        <w:kinsoku/>
        <w:wordWrap/>
        <w:overflowPunct/>
        <w:topLinePunct w:val="0"/>
        <w:autoSpaceDE/>
        <w:autoSpaceDN/>
        <w:bidi w:val="0"/>
        <w:adjustRightInd/>
        <w:snapToGrid/>
        <w:spacing w:before="340" w:after="330" w:line="300" w:lineRule="auto"/>
        <w:jc w:val="center"/>
        <w:textAlignment w:val="auto"/>
        <w:outlineLvl w:val="0"/>
        <w:rPr>
          <w:rFonts w:ascii="黑体" w:hAnsi="黑体" w:eastAsia="黑体" w:cs="Times New Roman"/>
          <w:color w:val="auto"/>
          <w:kern w:val="44"/>
          <w:sz w:val="30"/>
          <w:szCs w:val="30"/>
        </w:rPr>
      </w:pPr>
      <w:bookmarkStart w:id="17" w:name="_Toc13196"/>
      <w:bookmarkStart w:id="18" w:name="_Toc88438701"/>
      <w:r>
        <w:rPr>
          <w:rFonts w:hint="eastAsia" w:ascii="黑体" w:hAnsi="黑体" w:eastAsia="黑体" w:cs="Times New Roman"/>
          <w:color w:val="auto"/>
          <w:kern w:val="44"/>
          <w:sz w:val="30"/>
          <w:szCs w:val="30"/>
        </w:rPr>
        <w:t>结  论</w:t>
      </w:r>
      <w:bookmarkEnd w:id="17"/>
      <w:bookmarkEnd w:id="18"/>
    </w:p>
    <w:p w14:paraId="3ECCA0A6">
      <w:pPr>
        <w:spacing w:line="300" w:lineRule="auto"/>
        <w:ind w:firstLine="480" w:firstLineChars="200"/>
        <w:rPr>
          <w:rFonts w:hint="eastAsia" w:ascii="宋体" w:hAnsi="宋体" w:eastAsia="宋体" w:cs="Times New Roman"/>
          <w:color w:val="auto"/>
          <w:sz w:val="24"/>
          <w:szCs w:val="22"/>
        </w:rPr>
      </w:pPr>
      <w:r>
        <w:rPr>
          <w:rFonts w:hint="eastAsia" w:ascii="宋体" w:hAnsi="宋体" w:eastAsia="宋体" w:cs="Times New Roman"/>
          <w:color w:val="auto"/>
          <w:sz w:val="24"/>
          <w:szCs w:val="22"/>
        </w:rPr>
        <w:t>随着共享经济的兴起和城市化进程的加速，物流配送行业迎来了新的发展机遇和挑战。货拉拉作为国内领先的同城货运平台，通过创新的商业模式和技术应用，为用户提供了便捷、高效的物流配送服务。然而，随着市场竞争的加剧和用户需求的多样化，货拉拉在物流配送及服务方面仍需不断创新和优化。</w:t>
      </w:r>
    </w:p>
    <w:p w14:paraId="11A589EF">
      <w:pPr>
        <w:spacing w:line="300" w:lineRule="auto"/>
        <w:ind w:firstLine="480" w:firstLineChars="200"/>
        <w:rPr>
          <w:rFonts w:hint="eastAsia" w:ascii="宋体" w:hAnsi="宋体" w:eastAsia="宋体" w:cs="Times New Roman"/>
          <w:color w:val="auto"/>
          <w:sz w:val="24"/>
          <w:szCs w:val="22"/>
        </w:rPr>
      </w:pPr>
      <w:r>
        <w:rPr>
          <w:rFonts w:hint="eastAsia" w:ascii="宋体" w:hAnsi="宋体" w:eastAsia="宋体" w:cs="Times New Roman"/>
          <w:color w:val="auto"/>
          <w:sz w:val="24"/>
          <w:szCs w:val="22"/>
        </w:rPr>
        <w:t>本文通过对货拉拉物流配送及服务现状的深入分析，探讨了其在物流配送及服务创新方面存在的问题，并提出了相应的创新方案。这些方案包括构建智能化配送网络、大数据驱动的精准服务、实施绿色物流以及提升客户体验等。通过这些创新措施，货拉拉不仅能够满足当前市场的需求，还能为未来的可持续发展奠定坚实的基础。</w:t>
      </w:r>
    </w:p>
    <w:p w14:paraId="6F7C144E">
      <w:pPr>
        <w:spacing w:line="300" w:lineRule="auto"/>
        <w:ind w:firstLine="480" w:firstLineChars="200"/>
        <w:rPr>
          <w:rFonts w:ascii="宋体" w:hAnsi="宋体" w:eastAsia="宋体" w:cs="Times New Roman"/>
          <w:color w:val="auto"/>
          <w:sz w:val="24"/>
          <w:szCs w:val="22"/>
        </w:rPr>
      </w:pPr>
      <w:r>
        <w:rPr>
          <w:rFonts w:hint="eastAsia" w:ascii="宋体" w:hAnsi="宋体" w:eastAsia="宋体" w:cs="Times New Roman"/>
          <w:color w:val="auto"/>
          <w:sz w:val="24"/>
          <w:szCs w:val="22"/>
        </w:rPr>
        <w:t>本研究旨在为货拉拉在智能化配送网络的构建、大数据驱动的精准服务、绿色物流的实施以及客户体验的全方位提升等方面提供具体的实施策略和建议，助力货拉拉实现可持续发展。同时，本研究也为其他物流企业提供有益的参考和借鉴，推动整个物流行业的创新发展</w:t>
      </w:r>
      <w:r>
        <w:rPr>
          <w:rFonts w:ascii="宋体" w:hAnsi="宋体" w:eastAsia="宋体" w:cs="Times New Roman"/>
          <w:color w:val="auto"/>
          <w:sz w:val="24"/>
          <w:szCs w:val="22"/>
        </w:rPr>
        <w:t>。</w:t>
      </w:r>
    </w:p>
    <w:p w14:paraId="3D514055">
      <w:pPr>
        <w:spacing w:line="360" w:lineRule="auto"/>
        <w:ind w:firstLine="480" w:firstLineChars="200"/>
        <w:rPr>
          <w:rFonts w:ascii="Times New Roman" w:hAnsi="Times New Roman" w:cs="宋体"/>
          <w:color w:val="auto"/>
          <w:sz w:val="24"/>
        </w:rPr>
      </w:pPr>
    </w:p>
    <w:p w14:paraId="536DF036">
      <w:pPr>
        <w:spacing w:line="360" w:lineRule="auto"/>
        <w:ind w:firstLine="480" w:firstLineChars="200"/>
        <w:rPr>
          <w:rFonts w:ascii="Times New Roman" w:hAnsi="Times New Roman" w:cs="宋体"/>
          <w:color w:val="auto"/>
          <w:sz w:val="24"/>
        </w:rPr>
      </w:pPr>
    </w:p>
    <w:p w14:paraId="746A0731">
      <w:pPr>
        <w:spacing w:line="360" w:lineRule="auto"/>
        <w:ind w:firstLine="480" w:firstLineChars="200"/>
        <w:rPr>
          <w:rFonts w:ascii="Times New Roman" w:hAnsi="Times New Roman" w:cs="宋体"/>
          <w:color w:val="auto"/>
          <w:sz w:val="24"/>
        </w:rPr>
      </w:pPr>
    </w:p>
    <w:p w14:paraId="3B594BAB">
      <w:pPr>
        <w:spacing w:line="360" w:lineRule="auto"/>
        <w:ind w:firstLine="480" w:firstLineChars="200"/>
        <w:rPr>
          <w:rFonts w:ascii="Times New Roman" w:hAnsi="Times New Roman" w:cs="宋体"/>
          <w:color w:val="auto"/>
          <w:sz w:val="24"/>
        </w:rPr>
      </w:pPr>
    </w:p>
    <w:p w14:paraId="0BD590FF">
      <w:pPr>
        <w:spacing w:line="360" w:lineRule="auto"/>
        <w:ind w:firstLine="480" w:firstLineChars="200"/>
        <w:rPr>
          <w:rFonts w:ascii="Times New Roman" w:hAnsi="Times New Roman" w:cs="宋体"/>
          <w:color w:val="auto"/>
          <w:sz w:val="24"/>
        </w:rPr>
      </w:pPr>
    </w:p>
    <w:p w14:paraId="6668D056">
      <w:pPr>
        <w:spacing w:line="360" w:lineRule="auto"/>
        <w:ind w:firstLine="480" w:firstLineChars="200"/>
        <w:rPr>
          <w:rFonts w:ascii="Times New Roman" w:hAnsi="Times New Roman" w:cs="宋体"/>
          <w:color w:val="auto"/>
          <w:sz w:val="24"/>
        </w:rPr>
      </w:pPr>
    </w:p>
    <w:p w14:paraId="1A0098C0">
      <w:pPr>
        <w:spacing w:line="360" w:lineRule="auto"/>
        <w:ind w:firstLine="480" w:firstLineChars="200"/>
        <w:rPr>
          <w:rFonts w:ascii="Times New Roman" w:hAnsi="Times New Roman" w:cs="宋体"/>
          <w:color w:val="auto"/>
          <w:sz w:val="24"/>
        </w:rPr>
      </w:pPr>
    </w:p>
    <w:p w14:paraId="7D908C04">
      <w:pPr>
        <w:spacing w:line="360" w:lineRule="auto"/>
        <w:ind w:firstLine="480" w:firstLineChars="200"/>
        <w:rPr>
          <w:rFonts w:ascii="Times New Roman" w:hAnsi="Times New Roman" w:cs="宋体"/>
          <w:color w:val="auto"/>
          <w:sz w:val="24"/>
        </w:rPr>
      </w:pPr>
    </w:p>
    <w:p w14:paraId="1AC941D8">
      <w:pPr>
        <w:spacing w:line="360" w:lineRule="auto"/>
        <w:ind w:firstLine="480" w:firstLineChars="200"/>
        <w:rPr>
          <w:rFonts w:ascii="Times New Roman" w:hAnsi="Times New Roman" w:cs="宋体"/>
          <w:color w:val="auto"/>
          <w:sz w:val="24"/>
        </w:rPr>
      </w:pPr>
    </w:p>
    <w:p w14:paraId="41C1B2B2">
      <w:pPr>
        <w:spacing w:line="360" w:lineRule="auto"/>
        <w:ind w:firstLine="480" w:firstLineChars="200"/>
        <w:rPr>
          <w:rFonts w:ascii="Times New Roman" w:hAnsi="Times New Roman" w:cs="宋体"/>
          <w:color w:val="auto"/>
          <w:sz w:val="24"/>
        </w:rPr>
      </w:pPr>
    </w:p>
    <w:p w14:paraId="11CFB969">
      <w:pPr>
        <w:spacing w:line="360" w:lineRule="auto"/>
        <w:ind w:firstLine="480" w:firstLineChars="200"/>
        <w:rPr>
          <w:rFonts w:ascii="Times New Roman" w:hAnsi="Times New Roman" w:cs="宋体"/>
          <w:color w:val="auto"/>
          <w:sz w:val="24"/>
        </w:rPr>
      </w:pPr>
    </w:p>
    <w:p w14:paraId="04389552">
      <w:pPr>
        <w:spacing w:line="360" w:lineRule="auto"/>
        <w:ind w:firstLine="480" w:firstLineChars="200"/>
        <w:rPr>
          <w:rFonts w:ascii="Times New Roman" w:hAnsi="Times New Roman" w:cs="宋体"/>
          <w:color w:val="auto"/>
          <w:sz w:val="24"/>
        </w:rPr>
      </w:pPr>
    </w:p>
    <w:p w14:paraId="4BCF7507">
      <w:pPr>
        <w:spacing w:line="360" w:lineRule="auto"/>
        <w:ind w:firstLine="480" w:firstLineChars="200"/>
        <w:rPr>
          <w:rFonts w:ascii="Times New Roman" w:hAnsi="Times New Roman" w:cs="宋体"/>
          <w:color w:val="auto"/>
          <w:sz w:val="24"/>
        </w:rPr>
      </w:pPr>
    </w:p>
    <w:p w14:paraId="6C127644">
      <w:pPr>
        <w:spacing w:line="360" w:lineRule="auto"/>
        <w:ind w:firstLine="480" w:firstLineChars="200"/>
        <w:rPr>
          <w:rFonts w:ascii="Times New Roman" w:hAnsi="Times New Roman" w:cs="宋体"/>
          <w:color w:val="auto"/>
          <w:sz w:val="24"/>
        </w:rPr>
      </w:pPr>
    </w:p>
    <w:p w14:paraId="058A2977">
      <w:pPr>
        <w:spacing w:line="360" w:lineRule="auto"/>
        <w:ind w:firstLine="480" w:firstLineChars="200"/>
        <w:rPr>
          <w:rFonts w:ascii="Times New Roman" w:hAnsi="Times New Roman" w:cs="宋体"/>
          <w:color w:val="auto"/>
          <w:sz w:val="24"/>
        </w:rPr>
      </w:pPr>
    </w:p>
    <w:p w14:paraId="2B45079C">
      <w:pPr>
        <w:spacing w:line="360" w:lineRule="auto"/>
        <w:ind w:firstLine="480" w:firstLineChars="200"/>
        <w:rPr>
          <w:rFonts w:ascii="Times New Roman" w:hAnsi="Times New Roman" w:cs="宋体"/>
          <w:color w:val="auto"/>
          <w:sz w:val="24"/>
        </w:rPr>
      </w:pPr>
    </w:p>
    <w:p w14:paraId="7C80AD4A">
      <w:pPr>
        <w:pStyle w:val="2"/>
        <w:spacing w:after="0" w:line="579" w:lineRule="auto"/>
        <w:jc w:val="left"/>
        <w:rPr>
          <w:rFonts w:ascii="黑体" w:hAnsi="黑体" w:eastAsia="黑体"/>
          <w:color w:val="auto"/>
          <w:sz w:val="28"/>
          <w:szCs w:val="28"/>
        </w:rPr>
      </w:pPr>
      <w:bookmarkStart w:id="19" w:name="_Toc12141"/>
      <w:bookmarkStart w:id="20" w:name="_Toc25396_WPSOffice_Level1"/>
      <w:r>
        <w:rPr>
          <w:rFonts w:hint="eastAsia" w:ascii="黑体" w:hAnsi="黑体" w:eastAsia="黑体"/>
          <w:color w:val="auto"/>
          <w:sz w:val="28"/>
          <w:szCs w:val="28"/>
        </w:rPr>
        <w:t>参考文献</w:t>
      </w:r>
      <w:bookmarkEnd w:id="19"/>
      <w:bookmarkEnd w:id="20"/>
    </w:p>
    <w:p w14:paraId="43BD07B7">
      <w:pPr>
        <w:spacing w:line="300" w:lineRule="auto"/>
        <w:rPr>
          <w:rFonts w:hint="eastAsia" w:ascii="宋体" w:hAnsi="宋体" w:eastAsia="宋体" w:cs="宋体"/>
          <w:color w:val="auto"/>
          <w:szCs w:val="21"/>
        </w:rPr>
      </w:pPr>
      <w:r>
        <w:rPr>
          <w:rFonts w:hint="eastAsia" w:ascii="宋体" w:hAnsi="宋体" w:eastAsia="宋体" w:cs="宋体"/>
          <w:color w:val="auto"/>
          <w:szCs w:val="21"/>
        </w:rPr>
        <w:t>[1]李婧.绿色物流理念下城市配送体系创新与实践[J].通化师范学院学报,2024,45(11):105-108.DOI:10.13877/j.cnki.cn22-1284.2024.11.016.</w:t>
      </w:r>
    </w:p>
    <w:p w14:paraId="39D7CDD3">
      <w:pPr>
        <w:spacing w:line="300" w:lineRule="auto"/>
        <w:rPr>
          <w:rFonts w:hint="eastAsia" w:ascii="宋体" w:hAnsi="宋体" w:eastAsia="宋体" w:cs="宋体"/>
          <w:color w:val="auto"/>
          <w:szCs w:val="21"/>
        </w:rPr>
      </w:pPr>
      <w:r>
        <w:rPr>
          <w:rFonts w:hint="eastAsia" w:ascii="宋体" w:hAnsi="宋体" w:eastAsia="宋体" w:cs="宋体"/>
          <w:color w:val="auto"/>
          <w:szCs w:val="21"/>
        </w:rPr>
        <w:t>[2]罗淑菲.电商物流“最后一公里”配送模式的创新[J].大众投资指南,2024,(13):56-58.</w:t>
      </w:r>
    </w:p>
    <w:p w14:paraId="3E637F0F">
      <w:pPr>
        <w:spacing w:line="300" w:lineRule="auto"/>
        <w:rPr>
          <w:rFonts w:hint="eastAsia" w:ascii="宋体" w:hAnsi="宋体" w:eastAsia="宋体" w:cs="宋体"/>
          <w:color w:val="auto"/>
          <w:szCs w:val="21"/>
        </w:rPr>
      </w:pPr>
      <w:r>
        <w:rPr>
          <w:rFonts w:hint="eastAsia" w:ascii="宋体" w:hAnsi="宋体" w:eastAsia="宋体" w:cs="宋体"/>
          <w:color w:val="auto"/>
          <w:szCs w:val="21"/>
        </w:rPr>
        <w:t>[3]庄倩倩.电商背景下农产品物流配送模式创新研究[J].中国储运,2024,(04):131-132.DOI:10.16301/j.cnki.cn12-1204/f.2024.04.025.</w:t>
      </w:r>
    </w:p>
    <w:p w14:paraId="39492714">
      <w:pPr>
        <w:spacing w:line="300" w:lineRule="auto"/>
        <w:rPr>
          <w:rFonts w:hint="eastAsia" w:ascii="宋体" w:hAnsi="宋体" w:eastAsia="宋体" w:cs="宋体"/>
          <w:color w:val="auto"/>
          <w:szCs w:val="21"/>
        </w:rPr>
      </w:pPr>
      <w:r>
        <w:rPr>
          <w:rFonts w:hint="eastAsia" w:ascii="宋体" w:hAnsi="宋体" w:eastAsia="宋体" w:cs="宋体"/>
          <w:color w:val="auto"/>
          <w:szCs w:val="21"/>
        </w:rPr>
        <w:t xml:space="preserve">[4]赵凤,张晓芹,李文玉.众包物流配送创新模式发展路径研究——以河源市为例[C]//中国国际科技促进会国际院士联合体工作委员会.2023年经济管理研究国际学术论坛论文集（二）.广东东软学院;,2023:84-86.DOI:10.26914/c.cnkihy.2023.061700. </w:t>
      </w:r>
    </w:p>
    <w:p w14:paraId="3B634F34">
      <w:pPr>
        <w:spacing w:line="300" w:lineRule="auto"/>
        <w:rPr>
          <w:rFonts w:hint="eastAsia" w:ascii="宋体" w:hAnsi="宋体" w:eastAsia="宋体" w:cs="宋体"/>
          <w:color w:val="auto"/>
          <w:szCs w:val="21"/>
        </w:rPr>
      </w:pPr>
      <w:r>
        <w:rPr>
          <w:rFonts w:hint="eastAsia" w:ascii="宋体" w:hAnsi="宋体" w:eastAsia="宋体" w:cs="宋体"/>
          <w:color w:val="auto"/>
          <w:szCs w:val="21"/>
        </w:rPr>
        <w:t>[5]赵佳鹏,任新平.大数据背景下智慧社区与物流配送的深度融合——智能快递柜行业创新发展路径的研究[J].中国储运,2022,(12):179-180.DOI:10.16301/j.cnki.cn12-</w:t>
      </w:r>
      <w:r>
        <w:rPr>
          <w:rFonts w:hint="eastAsia" w:ascii="宋体" w:hAnsi="宋体" w:eastAsia="宋体" w:cs="宋体"/>
          <w:color w:val="auto"/>
          <w:szCs w:val="21"/>
          <w:lang w:val="en-US" w:eastAsia="zh-CN"/>
        </w:rPr>
        <w:t xml:space="preserve"> </w:t>
      </w:r>
      <w:r>
        <w:rPr>
          <w:rFonts w:hint="eastAsia" w:ascii="宋体" w:hAnsi="宋体" w:eastAsia="宋体" w:cs="宋体"/>
          <w:color w:val="auto"/>
          <w:szCs w:val="21"/>
        </w:rPr>
        <w:t>1204/f.2022.12.104.</w:t>
      </w:r>
    </w:p>
    <w:p w14:paraId="1BA90654">
      <w:pPr>
        <w:spacing w:line="300" w:lineRule="auto"/>
        <w:rPr>
          <w:rFonts w:hint="eastAsia" w:ascii="宋体" w:hAnsi="宋体" w:eastAsia="宋体" w:cs="宋体"/>
          <w:color w:val="auto"/>
          <w:szCs w:val="21"/>
        </w:rPr>
      </w:pPr>
      <w:r>
        <w:rPr>
          <w:rFonts w:hint="eastAsia" w:ascii="宋体" w:hAnsi="宋体" w:eastAsia="宋体" w:cs="宋体"/>
          <w:color w:val="auto"/>
          <w:szCs w:val="21"/>
        </w:rPr>
        <w:t>[6]陈思翰,徐晨晖,梁沛琪.大数据时代高校末端物流配送模式创新研究[J].市场周刊,2022,35(12):37-40.</w:t>
      </w:r>
    </w:p>
    <w:p w14:paraId="3CE04014">
      <w:pPr>
        <w:spacing w:line="300" w:lineRule="auto"/>
        <w:rPr>
          <w:rFonts w:hint="eastAsia" w:ascii="宋体" w:hAnsi="宋体" w:eastAsia="宋体" w:cs="宋体"/>
          <w:color w:val="auto"/>
          <w:szCs w:val="21"/>
        </w:rPr>
      </w:pPr>
      <w:r>
        <w:rPr>
          <w:rFonts w:hint="eastAsia" w:ascii="宋体" w:hAnsi="宋体" w:eastAsia="宋体" w:cs="宋体"/>
          <w:color w:val="auto"/>
          <w:szCs w:val="21"/>
        </w:rPr>
        <w:t>[7]余虹.“互联网+”背景下茶产品电商物流配送路径创新研究[J].中国储运,2022,(08):122-123.DOI:10.16301/j.cnki.cn12-1204/f.2022.08.066.</w:t>
      </w:r>
    </w:p>
    <w:p w14:paraId="7A1A970D">
      <w:pPr>
        <w:spacing w:line="300" w:lineRule="auto"/>
        <w:rPr>
          <w:rFonts w:hint="eastAsia" w:ascii="宋体" w:hAnsi="宋体" w:eastAsia="宋体" w:cs="宋体"/>
          <w:color w:val="auto"/>
          <w:szCs w:val="21"/>
        </w:rPr>
      </w:pPr>
      <w:r>
        <w:rPr>
          <w:rFonts w:hint="eastAsia" w:ascii="宋体" w:hAnsi="宋体" w:eastAsia="宋体" w:cs="宋体"/>
          <w:color w:val="auto"/>
          <w:szCs w:val="21"/>
        </w:rPr>
        <w:t>[8]吴孟霖,刘钦.物流配送无人化创新发展的影响因素分析[J].三门峡职业技术学院学报,2021,20(04):118-122.</w:t>
      </w:r>
    </w:p>
    <w:p w14:paraId="4625C02A">
      <w:pPr>
        <w:spacing w:line="300" w:lineRule="auto"/>
        <w:rPr>
          <w:rFonts w:hint="eastAsia" w:ascii="宋体" w:hAnsi="宋体" w:eastAsia="宋体" w:cs="宋体"/>
          <w:color w:val="auto"/>
          <w:szCs w:val="21"/>
        </w:rPr>
      </w:pPr>
      <w:r>
        <w:rPr>
          <w:rFonts w:hint="eastAsia" w:ascii="宋体" w:hAnsi="宋体" w:eastAsia="宋体" w:cs="宋体"/>
          <w:color w:val="auto"/>
          <w:szCs w:val="21"/>
        </w:rPr>
        <w:t>[9]曾晓晴.城市物流绿色配送的创新发展路径研究[J].物流工程与管理,2021,43(10):4-6.</w:t>
      </w:r>
    </w:p>
    <w:p w14:paraId="708B5668">
      <w:pPr>
        <w:spacing w:line="300" w:lineRule="auto"/>
        <w:rPr>
          <w:rFonts w:ascii="宋体" w:hAnsi="宋体" w:eastAsia="宋体" w:cs="宋体"/>
          <w:color w:val="auto"/>
          <w:szCs w:val="21"/>
        </w:rPr>
      </w:pPr>
      <w:r>
        <w:rPr>
          <w:rFonts w:hint="eastAsia" w:ascii="宋体" w:hAnsi="宋体" w:eastAsia="宋体" w:cs="宋体"/>
          <w:color w:val="auto"/>
          <w:szCs w:val="21"/>
        </w:rPr>
        <w:t>[10]王楚丰,王后峰,陈韶君.基于供需矛盾的快递物流末端配送创新模式构想[J].经济研究导刊,2021,(18):16-18+74.</w:t>
      </w:r>
    </w:p>
    <w:p w14:paraId="60E634A2">
      <w:pPr>
        <w:spacing w:line="360" w:lineRule="auto"/>
        <w:rPr>
          <w:rFonts w:ascii="宋体" w:hAnsi="宋体" w:cs="宋体"/>
          <w:color w:val="auto"/>
          <w:sz w:val="24"/>
        </w:rPr>
      </w:pPr>
    </w:p>
    <w:p w14:paraId="0676CEEC">
      <w:pPr>
        <w:spacing w:line="360" w:lineRule="auto"/>
        <w:rPr>
          <w:rFonts w:ascii="宋体" w:hAnsi="宋体" w:cs="宋体"/>
          <w:color w:val="auto"/>
          <w:sz w:val="24"/>
        </w:rPr>
      </w:pPr>
    </w:p>
    <w:p w14:paraId="32C08CF2">
      <w:pPr>
        <w:spacing w:line="360" w:lineRule="auto"/>
        <w:rPr>
          <w:rFonts w:ascii="宋体" w:hAnsi="宋体" w:cs="宋体"/>
          <w:color w:val="auto"/>
          <w:sz w:val="24"/>
        </w:rPr>
      </w:pPr>
    </w:p>
    <w:p w14:paraId="48443F93">
      <w:pPr>
        <w:spacing w:line="360" w:lineRule="auto"/>
        <w:rPr>
          <w:rFonts w:ascii="宋体" w:hAnsi="宋体" w:cs="宋体"/>
          <w:color w:val="auto"/>
          <w:sz w:val="24"/>
        </w:rPr>
      </w:pPr>
    </w:p>
    <w:p w14:paraId="0098F259">
      <w:pPr>
        <w:spacing w:line="360" w:lineRule="auto"/>
        <w:rPr>
          <w:rFonts w:ascii="宋体" w:hAnsi="宋体" w:cs="宋体"/>
          <w:color w:val="auto"/>
          <w:sz w:val="24"/>
        </w:rPr>
      </w:pPr>
    </w:p>
    <w:p w14:paraId="2EFF77B7">
      <w:pPr>
        <w:spacing w:line="360" w:lineRule="auto"/>
        <w:rPr>
          <w:rFonts w:ascii="宋体" w:hAnsi="宋体" w:cs="宋体"/>
          <w:color w:val="auto"/>
          <w:sz w:val="24"/>
        </w:rPr>
      </w:pPr>
    </w:p>
    <w:p w14:paraId="41210A78">
      <w:pPr>
        <w:spacing w:line="360" w:lineRule="auto"/>
        <w:rPr>
          <w:rFonts w:ascii="宋体" w:hAnsi="宋体" w:cs="宋体"/>
          <w:color w:val="auto"/>
          <w:sz w:val="24"/>
        </w:rPr>
      </w:pPr>
    </w:p>
    <w:p w14:paraId="25699F04">
      <w:pPr>
        <w:spacing w:line="360" w:lineRule="auto"/>
        <w:rPr>
          <w:rFonts w:ascii="宋体" w:hAnsi="宋体" w:cs="宋体"/>
          <w:color w:val="auto"/>
          <w:sz w:val="24"/>
        </w:rPr>
      </w:pPr>
    </w:p>
    <w:p w14:paraId="398F351E">
      <w:pPr>
        <w:spacing w:line="360" w:lineRule="auto"/>
        <w:rPr>
          <w:rFonts w:ascii="宋体" w:hAnsi="宋体" w:cs="宋体"/>
          <w:color w:val="auto"/>
          <w:sz w:val="24"/>
        </w:rPr>
      </w:pPr>
    </w:p>
    <w:p w14:paraId="45CA638B">
      <w:pPr>
        <w:spacing w:line="360" w:lineRule="auto"/>
        <w:rPr>
          <w:rFonts w:ascii="宋体" w:hAnsi="宋体" w:cs="宋体"/>
          <w:color w:val="auto"/>
          <w:sz w:val="24"/>
        </w:rPr>
      </w:pPr>
    </w:p>
    <w:p w14:paraId="5DE7060C">
      <w:pPr>
        <w:pStyle w:val="2"/>
        <w:jc w:val="center"/>
        <w:rPr>
          <w:rFonts w:ascii="黑体" w:hAnsi="黑体" w:eastAsia="黑体"/>
          <w:b w:val="0"/>
          <w:bCs w:val="0"/>
          <w:color w:val="auto"/>
          <w:sz w:val="28"/>
          <w:szCs w:val="28"/>
        </w:rPr>
      </w:pPr>
      <w:bookmarkStart w:id="21" w:name="_Toc20584"/>
      <w:bookmarkStart w:id="22" w:name="_Toc87202786"/>
      <w:r>
        <w:rPr>
          <w:rFonts w:hint="eastAsia" w:ascii="黑体" w:hAnsi="黑体" w:eastAsia="黑体"/>
          <w:b w:val="0"/>
          <w:bCs w:val="0"/>
          <w:color w:val="auto"/>
          <w:sz w:val="28"/>
          <w:szCs w:val="28"/>
        </w:rPr>
        <w:t>致</w:t>
      </w:r>
      <w:r>
        <w:rPr>
          <w:rFonts w:hint="eastAsia" w:ascii="黑体" w:hAnsi="黑体" w:eastAsia="黑体"/>
          <w:b w:val="0"/>
          <w:bCs w:val="0"/>
          <w:color w:val="auto"/>
          <w:sz w:val="28"/>
          <w:szCs w:val="28"/>
          <w:lang w:val="en-US" w:eastAsia="zh-CN"/>
        </w:rPr>
        <w:t xml:space="preserve">  </w:t>
      </w:r>
      <w:r>
        <w:rPr>
          <w:rFonts w:hint="eastAsia" w:ascii="黑体" w:hAnsi="黑体" w:eastAsia="黑体"/>
          <w:b w:val="0"/>
          <w:bCs w:val="0"/>
          <w:color w:val="auto"/>
          <w:sz w:val="28"/>
          <w:szCs w:val="28"/>
        </w:rPr>
        <w:t>谢</w:t>
      </w:r>
      <w:bookmarkEnd w:id="21"/>
      <w:bookmarkEnd w:id="22"/>
    </w:p>
    <w:p w14:paraId="30F74B01">
      <w:pPr>
        <w:spacing w:line="300" w:lineRule="auto"/>
        <w:ind w:firstLine="480" w:firstLineChars="200"/>
        <w:rPr>
          <w:rFonts w:hint="eastAsia" w:ascii="宋体" w:hAnsi="宋体" w:cs="宋体"/>
          <w:color w:val="auto"/>
          <w:sz w:val="24"/>
        </w:rPr>
      </w:pPr>
      <w:r>
        <w:rPr>
          <w:rFonts w:hint="eastAsia" w:ascii="宋体" w:hAnsi="宋体" w:cs="宋体"/>
          <w:color w:val="auto"/>
          <w:sz w:val="24"/>
        </w:rPr>
        <w:t>时光荏苒，岁月如梭。在完成本论文之际，我深知这不仅是个人努力的成果，更是众多帮助和支持我的人共同付出的结果。回首这段充实而难忘的时光，心中满是感激。</w:t>
      </w:r>
    </w:p>
    <w:p w14:paraId="331EC2D5">
      <w:pPr>
        <w:spacing w:line="300" w:lineRule="auto"/>
        <w:ind w:firstLine="480" w:firstLineChars="200"/>
        <w:rPr>
          <w:rFonts w:hint="eastAsia" w:ascii="宋体" w:hAnsi="宋体" w:cs="宋体"/>
          <w:color w:val="auto"/>
          <w:sz w:val="24"/>
        </w:rPr>
      </w:pPr>
      <w:r>
        <w:rPr>
          <w:rFonts w:hint="eastAsia" w:ascii="宋体" w:hAnsi="宋体" w:cs="宋体"/>
          <w:color w:val="auto"/>
          <w:sz w:val="24"/>
        </w:rPr>
        <w:t>首先，我要衷心感谢我的指导教师</w:t>
      </w:r>
      <w:bookmarkStart w:id="23" w:name="_GoBack"/>
      <w:bookmarkEnd w:id="23"/>
      <w:r>
        <w:rPr>
          <w:rFonts w:hint="eastAsia" w:ascii="宋体" w:hAnsi="宋体" w:cs="宋体"/>
          <w:color w:val="auto"/>
          <w:sz w:val="24"/>
        </w:rPr>
        <w:t>。从选题开题到修改定稿，您始终耐心指导，为我的论文提出了许多宝贵的修改意见。您的严谨治学态度和丰富专业知识，为我指明了研究方向，让我在学术的道路上不断前行。感谢您在学习和生活中给予我的关心与支持，您的教诲将永远铭记在我的心中。</w:t>
      </w:r>
    </w:p>
    <w:p w14:paraId="0FEBD341">
      <w:pPr>
        <w:spacing w:line="300" w:lineRule="auto"/>
        <w:ind w:firstLine="480" w:firstLineChars="200"/>
        <w:rPr>
          <w:rFonts w:hint="eastAsia" w:ascii="宋体" w:hAnsi="宋体" w:cs="宋体"/>
          <w:color w:val="auto"/>
          <w:sz w:val="24"/>
        </w:rPr>
      </w:pPr>
      <w:r>
        <w:rPr>
          <w:rFonts w:hint="eastAsia" w:ascii="宋体" w:hAnsi="宋体" w:cs="宋体"/>
          <w:color w:val="auto"/>
          <w:sz w:val="24"/>
        </w:rPr>
        <w:t>其次，我要感谢我的辅导员以及授课的老师们。你们不仅是知识的传递者，更是我们成长道路上的引路人。在课堂上，你们用生动的讲解为我们打开知识的大门；在生活中，你们用温暖的关怀给予我们支持与鼓励。感谢你们的辛勤付出，让我在大学期间学到了许多宝贵的知识和道理。</w:t>
      </w:r>
    </w:p>
    <w:p w14:paraId="3DB82A33">
      <w:pPr>
        <w:spacing w:line="300" w:lineRule="auto"/>
        <w:ind w:firstLine="480" w:firstLineChars="200"/>
        <w:rPr>
          <w:rFonts w:hint="eastAsia" w:ascii="宋体" w:hAnsi="宋体" w:cs="宋体"/>
          <w:color w:val="auto"/>
          <w:sz w:val="24"/>
        </w:rPr>
      </w:pPr>
      <w:r>
        <w:rPr>
          <w:rFonts w:hint="eastAsia" w:ascii="宋体" w:hAnsi="宋体" w:cs="宋体"/>
          <w:color w:val="auto"/>
          <w:sz w:val="24"/>
        </w:rPr>
        <w:t>再次，我要感谢我的家人。感谢爸爸妈妈在我求学之路上的默默付出与无私奉献。在我遇到困难和挫折时，你们总是给予我鼓励和支持，成为我最坚强的后盾。感谢你们的理解与包容，让我能够安心地追求自己的梦想。同时，我也要感谢我的姑姑和所有关心我的家人，你们的关爱和支持是我不断前进的动力。</w:t>
      </w:r>
    </w:p>
    <w:p w14:paraId="35371010">
      <w:pPr>
        <w:spacing w:line="300" w:lineRule="auto"/>
        <w:ind w:firstLine="480" w:firstLineChars="200"/>
        <w:rPr>
          <w:rFonts w:hint="eastAsia" w:ascii="宋体" w:hAnsi="宋体" w:cs="宋体"/>
          <w:color w:val="auto"/>
          <w:sz w:val="24"/>
        </w:rPr>
      </w:pPr>
      <w:r>
        <w:rPr>
          <w:rFonts w:hint="eastAsia" w:ascii="宋体" w:hAnsi="宋体" w:cs="宋体"/>
          <w:color w:val="auto"/>
          <w:sz w:val="24"/>
        </w:rPr>
        <w:t>最后，我要感谢我的同学和朋友。在学习和生活中，你们给予我无尽的帮助和支持。我们一起度过了许多难忘的时光，共同成长，共同进步。感谢你们的陪伴，让我的大学生活充满了温暖与快乐。</w:t>
      </w:r>
    </w:p>
    <w:p w14:paraId="1D63A4CD">
      <w:pPr>
        <w:spacing w:line="300" w:lineRule="auto"/>
        <w:ind w:firstLine="480" w:firstLineChars="200"/>
        <w:rPr>
          <w:rFonts w:ascii="宋体" w:hAnsi="宋体" w:cs="宋体"/>
          <w:color w:val="auto"/>
          <w:sz w:val="24"/>
        </w:rPr>
      </w:pPr>
      <w:r>
        <w:rPr>
          <w:rFonts w:hint="eastAsia" w:ascii="宋体" w:hAnsi="宋体" w:cs="宋体"/>
          <w:color w:val="auto"/>
          <w:sz w:val="24"/>
        </w:rPr>
        <w:t>在未来的日子里，我将继续努力，不辜负大家的期望。希望我们都能在各自的道路上越走越好，实现自己的人生价值。再次衷心感谢所有关心和帮助我的人。</w:t>
      </w:r>
    </w:p>
    <w:p w14:paraId="01E85350">
      <w:pPr>
        <w:spacing w:line="360" w:lineRule="auto"/>
        <w:rPr>
          <w:rFonts w:ascii="宋体" w:hAnsi="宋体" w:cs="宋体"/>
          <w:color w:val="auto"/>
          <w:sz w:val="24"/>
        </w:rPr>
      </w:pPr>
    </w:p>
    <w:p w14:paraId="1D3B3BCC">
      <w:pPr>
        <w:spacing w:line="360" w:lineRule="auto"/>
        <w:rPr>
          <w:rFonts w:ascii="宋体" w:hAnsi="宋体" w:cs="宋体"/>
          <w:color w:val="auto"/>
          <w:sz w:val="24"/>
        </w:rPr>
      </w:pPr>
    </w:p>
    <w:p w14:paraId="66BBA441">
      <w:pPr>
        <w:spacing w:line="360" w:lineRule="auto"/>
        <w:rPr>
          <w:rFonts w:ascii="宋体" w:hAnsi="宋体" w:cs="宋体"/>
          <w:color w:val="auto"/>
          <w:sz w:val="24"/>
        </w:rPr>
      </w:pPr>
    </w:p>
    <w:p w14:paraId="50E29C6F">
      <w:pPr>
        <w:spacing w:line="360" w:lineRule="auto"/>
        <w:rPr>
          <w:rFonts w:ascii="宋体" w:hAnsi="宋体" w:cs="宋体"/>
          <w:color w:val="auto"/>
          <w:sz w:val="24"/>
        </w:rPr>
      </w:pPr>
    </w:p>
    <w:p w14:paraId="69312225">
      <w:pPr>
        <w:spacing w:line="360" w:lineRule="auto"/>
        <w:rPr>
          <w:rFonts w:ascii="宋体" w:hAnsi="宋体" w:cs="宋体"/>
          <w:color w:val="auto"/>
          <w:sz w:val="24"/>
        </w:rPr>
      </w:pPr>
    </w:p>
    <w:p w14:paraId="5A05387E">
      <w:pPr>
        <w:spacing w:line="360" w:lineRule="auto"/>
        <w:rPr>
          <w:rFonts w:ascii="宋体" w:hAnsi="宋体" w:cs="宋体"/>
          <w:color w:val="auto"/>
          <w:sz w:val="24"/>
        </w:rPr>
      </w:pPr>
    </w:p>
    <w:sectPr>
      <w:footerReference r:id="rId4" w:type="default"/>
      <w:pgSz w:w="11906" w:h="16838"/>
      <w:pgMar w:top="1531" w:right="1417" w:bottom="1701" w:left="1701" w:header="851" w:footer="992" w:gutter="0"/>
      <w:pgNumType w:start="1"/>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E6B2D1">
    <w:pPr>
      <w:pStyle w:val="6"/>
    </w:pPr>
    <w:r>
      <mc:AlternateContent>
        <mc:Choice Requires="wps">
          <w:drawing>
            <wp:anchor distT="0" distB="0" distL="0" distR="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097" name="文本框 21"/>
              <wp:cNvGraphicFramePr/>
              <a:graphic xmlns:a="http://schemas.openxmlformats.org/drawingml/2006/main">
                <a:graphicData uri="http://schemas.microsoft.com/office/word/2010/wordprocessingShape">
                  <wps:wsp>
                    <wps:cNvSpPr/>
                    <wps:spPr>
                      <a:xfrm>
                        <a:off x="0" y="0"/>
                        <a:ext cx="1828800" cy="1828800"/>
                      </a:xfrm>
                      <a:prstGeom prst="rect">
                        <a:avLst/>
                      </a:prstGeom>
                      <a:ln>
                        <a:noFill/>
                      </a:ln>
                    </wps:spPr>
                    <wps:txbx>
                      <w:txbxContent>
                        <w:p w14:paraId="398A02D9">
                          <w:pPr>
                            <w:pStyle w:val="6"/>
                          </w:pPr>
                          <w:r>
                            <w:rPr>
                              <w:rFonts w:hint="eastAsia"/>
                            </w:rPr>
                            <w:fldChar w:fldCharType="begin"/>
                          </w:r>
                          <w:r>
                            <w:rPr>
                              <w:rFonts w:hint="eastAsia"/>
                            </w:rPr>
                            <w:instrText xml:space="preserve"> PAGE  \* MERGEFORMAT </w:instrText>
                          </w:r>
                          <w:r>
                            <w:rPr>
                              <w:rFonts w:hint="eastAsia"/>
                            </w:rPr>
                            <w:fldChar w:fldCharType="separate"/>
                          </w:r>
                          <w:r>
                            <w:t>12</w:t>
                          </w:r>
                          <w:r>
                            <w:rPr>
                              <w:rFonts w:hint="eastAsia"/>
                            </w:rPr>
                            <w:fldChar w:fldCharType="end"/>
                          </w:r>
                        </w:p>
                      </w:txbxContent>
                    </wps:txbx>
                    <wps:bodyPr vert="horz" wrap="none" lIns="0" tIns="0" rIns="0" bIns="0" anchor="t">
                      <a:spAutoFit/>
                    </wps:bodyPr>
                  </wps:wsp>
                </a:graphicData>
              </a:graphic>
            </wp:anchor>
          </w:drawing>
        </mc:Choice>
        <mc:Fallback>
          <w:pict>
            <v:rect id="文本框 21" o:spid="_x0000_s1026" o:spt="1"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uXW5UtAAAAAFAQAADwAAAAAAAAABACAAAAAiAAAAZHJzL2Rvd25yZXYu&#10;eG1sUEsBAhQAFAAAAAgAh07iQGcFzBPKAQAAkwMAAA4AAAAAAAAAAQAgAAAAHwEAAGRycy9lMm9E&#10;b2MueG1sUEsFBgAAAAAGAAYAWQEAAFsFAAAAAA==&#10;">
              <v:fill on="f" focussize="0,0"/>
              <v:stroke on="f"/>
              <v:imagedata o:title=""/>
              <o:lock v:ext="edit" aspectratio="f"/>
              <v:textbox inset="0mm,0mm,0mm,0mm" style="mso-fit-shape-to-text:t;">
                <w:txbxContent>
                  <w:p w14:paraId="398A02D9">
                    <w:pPr>
                      <w:pStyle w:val="6"/>
                    </w:pPr>
                    <w:r>
                      <w:rPr>
                        <w:rFonts w:hint="eastAsia"/>
                      </w:rPr>
                      <w:fldChar w:fldCharType="begin"/>
                    </w:r>
                    <w:r>
                      <w:rPr>
                        <w:rFonts w:hint="eastAsia"/>
                      </w:rPr>
                      <w:instrText xml:space="preserve"> PAGE  \* MERGEFORMAT </w:instrText>
                    </w:r>
                    <w:r>
                      <w:rPr>
                        <w:rFonts w:hint="eastAsia"/>
                      </w:rPr>
                      <w:fldChar w:fldCharType="separate"/>
                    </w:r>
                    <w:r>
                      <w:t>12</w:t>
                    </w:r>
                    <w:r>
                      <w:rPr>
                        <w:rFonts w:hint="eastAsia"/>
                      </w:rPr>
                      <w:fldChar w:fldCharType="end"/>
                    </w:r>
                  </w:p>
                </w:txbxContent>
              </v:textbox>
            </v:rect>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134194">
    <w:pPr>
      <w:pBdr>
        <w:bottom w:val="single" w:color="auto" w:sz="6" w:space="1"/>
      </w:pBdr>
      <w:tabs>
        <w:tab w:val="center" w:pos="4153"/>
        <w:tab w:val="right" w:pos="8306"/>
      </w:tabs>
      <w:snapToGrid w:val="0"/>
      <w:jc w:val="center"/>
      <w:rPr>
        <w:rFonts w:ascii="宋体" w:hAnsi="宋体" w:eastAsia="宋体" w:cs="Times New Roman"/>
        <w:sz w:val="18"/>
        <w:szCs w:val="18"/>
      </w:rPr>
    </w:pPr>
    <w:r>
      <w:rPr>
        <w:rFonts w:hint="eastAsia" w:ascii="宋体" w:hAnsi="宋体" w:eastAsia="宋体" w:cs="Times New Roman"/>
        <w:sz w:val="18"/>
        <w:szCs w:val="18"/>
      </w:rPr>
      <w:t>广东创新科技职业学院</w:t>
    </w:r>
    <w:r>
      <w:rPr>
        <w:rFonts w:ascii="宋体" w:hAnsi="宋体" w:eastAsia="宋体" w:cs="Times New Roman"/>
        <w:sz w:val="18"/>
        <w:szCs w:val="18"/>
      </w:rPr>
      <w:t>202</w:t>
    </w:r>
    <w:r>
      <w:rPr>
        <w:rFonts w:hint="eastAsia" w:ascii="宋体" w:hAnsi="宋体" w:eastAsia="宋体" w:cs="Times New Roman"/>
        <w:sz w:val="18"/>
        <w:szCs w:val="18"/>
        <w:lang w:val="en-US" w:eastAsia="zh-CN"/>
      </w:rPr>
      <w:t>5</w:t>
    </w:r>
    <w:r>
      <w:rPr>
        <w:rFonts w:ascii="宋体" w:hAnsi="宋体" w:eastAsia="宋体" w:cs="Times New Roman"/>
        <w:sz w:val="18"/>
        <w:szCs w:val="18"/>
      </w:rPr>
      <w:t>届毕业设计（论文）</w:t>
    </w:r>
  </w:p>
  <w:p w14:paraId="2F11885A">
    <w:pPr>
      <w:pStyle w:val="7"/>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1"/>
  <w:bordersDoNotSurroundFooter w:val="1"/>
  <w:documentProtection w:enforcement="0"/>
  <w:defaultTabStop w:val="420"/>
  <w:drawingGridHorizontalSpacing w:val="105"/>
  <w:drawingGridVerticalSpacing w:val="156"/>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7C09063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4"/>
      <w:lang w:val="en-US" w:eastAsia="zh-CN" w:bidi="ar-SA"/>
    </w:rPr>
  </w:style>
  <w:style w:type="paragraph" w:styleId="2">
    <w:name w:val="heading 1"/>
    <w:basedOn w:val="1"/>
    <w:next w:val="1"/>
    <w:link w:val="18"/>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21"/>
    <w:qFormat/>
    <w:uiPriority w:val="9"/>
    <w:pPr>
      <w:keepNext/>
      <w:keepLines/>
      <w:spacing w:line="360" w:lineRule="auto"/>
      <w:jc w:val="left"/>
      <w:outlineLvl w:val="1"/>
    </w:pPr>
    <w:rPr>
      <w:rFonts w:ascii="Times New Roman" w:hAnsi="Times New Roman" w:eastAsia="宋体"/>
      <w:b/>
      <w:sz w:val="28"/>
    </w:rPr>
  </w:style>
  <w:style w:type="character" w:default="1" w:styleId="12">
    <w:name w:val="Default Paragraph Font"/>
    <w:qFormat/>
    <w:uiPriority w:val="1"/>
  </w:style>
  <w:style w:type="table" w:default="1" w:styleId="11">
    <w:name w:val="Normal Table"/>
    <w:qFormat/>
    <w:uiPriority w:val="99"/>
    <w:tblPr>
      <w:tblCellMar>
        <w:top w:w="0" w:type="dxa"/>
        <w:left w:w="108" w:type="dxa"/>
        <w:bottom w:w="0" w:type="dxa"/>
        <w:right w:w="108" w:type="dxa"/>
      </w:tblCellMar>
    </w:tblPr>
  </w:style>
  <w:style w:type="paragraph" w:styleId="4">
    <w:name w:val="toc 3"/>
    <w:basedOn w:val="1"/>
    <w:next w:val="1"/>
    <w:qFormat/>
    <w:uiPriority w:val="39"/>
    <w:pPr>
      <w:widowControl/>
      <w:spacing w:after="100" w:line="259" w:lineRule="auto"/>
      <w:ind w:left="440"/>
      <w:jc w:val="left"/>
    </w:pPr>
    <w:rPr>
      <w:rFonts w:cs="Times New Roman"/>
      <w:kern w:val="0"/>
      <w:sz w:val="22"/>
      <w:szCs w:val="22"/>
    </w:rPr>
  </w:style>
  <w:style w:type="paragraph" w:styleId="5">
    <w:name w:val="Date"/>
    <w:basedOn w:val="1"/>
    <w:next w:val="1"/>
    <w:link w:val="22"/>
    <w:qFormat/>
    <w:uiPriority w:val="0"/>
    <w:pPr>
      <w:ind w:left="100" w:leftChars="2500"/>
    </w:p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8">
    <w:name w:val="toc 1"/>
    <w:basedOn w:val="1"/>
    <w:next w:val="1"/>
    <w:qFormat/>
    <w:uiPriority w:val="39"/>
    <w:pPr>
      <w:widowControl/>
      <w:spacing w:after="100" w:line="259" w:lineRule="auto"/>
      <w:jc w:val="left"/>
    </w:pPr>
    <w:rPr>
      <w:rFonts w:cs="Times New Roman"/>
      <w:kern w:val="0"/>
      <w:sz w:val="22"/>
      <w:szCs w:val="22"/>
    </w:rPr>
  </w:style>
  <w:style w:type="paragraph" w:styleId="9">
    <w:name w:val="toc 2"/>
    <w:basedOn w:val="1"/>
    <w:next w:val="1"/>
    <w:qFormat/>
    <w:uiPriority w:val="39"/>
    <w:pPr>
      <w:widowControl/>
      <w:spacing w:after="100" w:line="259" w:lineRule="auto"/>
      <w:ind w:left="220"/>
      <w:jc w:val="left"/>
    </w:pPr>
    <w:rPr>
      <w:rFonts w:cs="Times New Roman"/>
      <w:kern w:val="0"/>
      <w:sz w:val="22"/>
      <w:szCs w:val="22"/>
    </w:rPr>
  </w:style>
  <w:style w:type="paragraph" w:styleId="10">
    <w:name w:val="Normal (Web)"/>
    <w:basedOn w:val="1"/>
    <w:qFormat/>
    <w:uiPriority w:val="0"/>
    <w:rPr>
      <w:rFonts w:ascii="Times New Roman" w:hAnsi="Times New Roman" w:cs="Times New Roman"/>
      <w:sz w:val="24"/>
    </w:rPr>
  </w:style>
  <w:style w:type="character" w:styleId="13">
    <w:name w:val="Hyperlink"/>
    <w:basedOn w:val="12"/>
    <w:qFormat/>
    <w:uiPriority w:val="99"/>
    <w:rPr>
      <w:color w:val="0000FF"/>
      <w:u w:val="single"/>
    </w:rPr>
  </w:style>
  <w:style w:type="paragraph" w:customStyle="1" w:styleId="14">
    <w:name w:val="WPSOffice手动目录 1"/>
    <w:qFormat/>
    <w:uiPriority w:val="0"/>
    <w:rPr>
      <w:rFonts w:ascii="Times New Roman" w:hAnsi="Times New Roman" w:eastAsia="宋体" w:cs="Times New Roman"/>
      <w:lang w:val="en-US" w:eastAsia="zh-CN" w:bidi="ar-SA"/>
    </w:rPr>
  </w:style>
  <w:style w:type="paragraph" w:customStyle="1" w:styleId="15">
    <w:name w:val="WPSOffice手动目录 2"/>
    <w:qFormat/>
    <w:uiPriority w:val="0"/>
    <w:pPr>
      <w:ind w:left="200" w:leftChars="200"/>
    </w:pPr>
    <w:rPr>
      <w:rFonts w:ascii="Times New Roman" w:hAnsi="Times New Roman" w:eastAsia="宋体" w:cs="Times New Roman"/>
      <w:lang w:val="en-US" w:eastAsia="zh-CN" w:bidi="ar-SA"/>
    </w:rPr>
  </w:style>
  <w:style w:type="paragraph" w:customStyle="1" w:styleId="16">
    <w:name w:val="WPSOffice手动目录 3"/>
    <w:qFormat/>
    <w:uiPriority w:val="0"/>
    <w:pPr>
      <w:ind w:left="400" w:leftChars="400"/>
    </w:pPr>
    <w:rPr>
      <w:rFonts w:ascii="Times New Roman" w:hAnsi="Times New Roman" w:eastAsia="宋体" w:cs="Times New Roman"/>
      <w:lang w:val="en-US" w:eastAsia="zh-CN" w:bidi="ar-SA"/>
    </w:rPr>
  </w:style>
  <w:style w:type="paragraph" w:customStyle="1" w:styleId="17">
    <w:name w:val="列出段落1"/>
    <w:basedOn w:val="1"/>
    <w:qFormat/>
    <w:uiPriority w:val="34"/>
    <w:pPr>
      <w:ind w:left="720"/>
      <w:contextualSpacing/>
    </w:pPr>
  </w:style>
  <w:style w:type="character" w:customStyle="1" w:styleId="18">
    <w:name w:val="标题 1 Char"/>
    <w:basedOn w:val="12"/>
    <w:link w:val="2"/>
    <w:qFormat/>
    <w:uiPriority w:val="9"/>
    <w:rPr>
      <w:rFonts w:ascii="Calibri" w:hAnsi="Calibri" w:cs="宋体"/>
      <w:b/>
      <w:bCs/>
      <w:kern w:val="44"/>
      <w:sz w:val="44"/>
      <w:szCs w:val="44"/>
    </w:rPr>
  </w:style>
  <w:style w:type="paragraph" w:customStyle="1" w:styleId="19">
    <w:name w:val="TOC 标题1"/>
    <w:basedOn w:val="2"/>
    <w:next w:val="1"/>
    <w:qFormat/>
    <w:uiPriority w:val="39"/>
    <w:pPr>
      <w:widowControl/>
      <w:spacing w:before="240" w:after="0" w:line="259" w:lineRule="auto"/>
      <w:jc w:val="left"/>
      <w:outlineLvl w:val="9"/>
    </w:pPr>
    <w:rPr>
      <w:rFonts w:ascii="Cambria" w:hAnsi="Cambria" w:eastAsia="宋体" w:cs="宋体"/>
      <w:b w:val="0"/>
      <w:bCs w:val="0"/>
      <w:color w:val="2E75B6"/>
      <w:kern w:val="0"/>
      <w:sz w:val="32"/>
      <w:szCs w:val="32"/>
    </w:rPr>
  </w:style>
  <w:style w:type="paragraph" w:customStyle="1" w:styleId="20">
    <w:name w:val="列出段落2"/>
    <w:basedOn w:val="1"/>
    <w:qFormat/>
    <w:uiPriority w:val="99"/>
    <w:pPr>
      <w:ind w:firstLine="420" w:firstLineChars="200"/>
    </w:pPr>
  </w:style>
  <w:style w:type="character" w:customStyle="1" w:styleId="21">
    <w:name w:val="标题 2 Char"/>
    <w:basedOn w:val="12"/>
    <w:link w:val="3"/>
    <w:qFormat/>
    <w:uiPriority w:val="9"/>
    <w:rPr>
      <w:rFonts w:eastAsia="宋体" w:cs="宋体"/>
      <w:b/>
      <w:kern w:val="2"/>
      <w:sz w:val="28"/>
      <w:szCs w:val="24"/>
    </w:rPr>
  </w:style>
  <w:style w:type="character" w:customStyle="1" w:styleId="22">
    <w:name w:val="日期 Char"/>
    <w:basedOn w:val="12"/>
    <w:link w:val="5"/>
    <w:qFormat/>
    <w:uiPriority w:val="0"/>
    <w:rPr>
      <w:rFonts w:ascii="Calibri" w:hAnsi="Calibri" w:cs="宋体"/>
      <w:kern w:val="2"/>
      <w:sz w:val="21"/>
      <w:szCs w:val="24"/>
    </w:rPr>
  </w:style>
  <w:style w:type="paragraph" w:customStyle="1" w:styleId="23">
    <w:name w:val="封面填写"/>
    <w:basedOn w:val="1"/>
    <w:qFormat/>
    <w:uiPriority w:val="0"/>
    <w:pPr>
      <w:jc w:val="center"/>
    </w:pPr>
    <w:rPr>
      <w:rFonts w:ascii="Times New Roman" w:hAnsi="Times New Roman" w:eastAsia="宋体" w:cs="Times New Roman"/>
      <w:sz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EDA0D39-8643-49DA-82C2-6448D793E711}">
  <ds:schemaRefs/>
</ds:datastoreItem>
</file>

<file path=docProps/app.xml><?xml version="1.0" encoding="utf-8"?>
<Properties xmlns="http://schemas.openxmlformats.org/officeDocument/2006/extended-properties" xmlns:vt="http://schemas.openxmlformats.org/officeDocument/2006/docPropsVTypes">
  <Template>Normal</Template>
  <Pages>15</Pages>
  <Words>8491</Words>
  <Characters>8994</Characters>
  <Paragraphs>221</Paragraphs>
  <TotalTime>31</TotalTime>
  <ScaleCrop>false</ScaleCrop>
  <LinksUpToDate>false</LinksUpToDate>
  <CharactersWithSpaces>9093</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2022-11-10T07:15:00Z</dcterms:created>
  <dc:creator>子颖-weng</dc:creator>
  <cp:lastModifiedBy>WPS_1601454836</cp:lastModifiedBy>
  <dcterms:modified xsi:type="dcterms:W3CDTF">2025-05-17T11:27:51Z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KSORubyTemplateID">
    <vt:lpwstr>6</vt:lpwstr>
  </property>
  <property fmtid="{D5CDD505-2E9C-101B-9397-08002B2CF9AE}" pid="4" name="ICV">
    <vt:lpwstr>8BB5E085F6D444E8855525899381D340_13</vt:lpwstr>
  </property>
  <property fmtid="{D5CDD505-2E9C-101B-9397-08002B2CF9AE}" pid="5" name="KSOTemplateDocerSaveRecord">
    <vt:lpwstr>eyJoZGlkIjoiMTU1MTdjYjRiMGRmYjQyMTZlMGM0MTM2M2U1OTJjODgiLCJ1c2VySWQiOiIxMTI2MDMyNTA2In0=</vt:lpwstr>
  </property>
</Properties>
</file>