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v:background id="_x0000_s2049" o:targetscreensize="1024,768">
      <v:fill focusposition=".5,.5" focussize="" focus="100%" type="gradient"/>
    </v:background>
  </w:background>
  <w:body>
    <w:p w14:paraId="4C1FF3ED" w14:textId="77777777" w:rsidR="00DC45C4" w:rsidRDefault="00000000" w:rsidP="00AE7C9B">
      <w:pPr>
        <w:autoSpaceDE w:val="0"/>
        <w:autoSpaceDN w:val="0"/>
        <w:spacing w:beforeLines="50" w:before="156" w:afterLines="50" w:after="156" w:line="360" w:lineRule="exact"/>
        <w:ind w:firstLine="0"/>
        <w:outlineLvl w:val="0"/>
        <w:rPr>
          <w:rFonts w:ascii="黑体" w:eastAsia="黑体"/>
          <w:sz w:val="32"/>
          <w:szCs w:val="32"/>
        </w:rPr>
      </w:pPr>
      <w:bookmarkStart w:id="0" w:name="_Toc7816"/>
      <w:r>
        <w:rPr>
          <w:rFonts w:ascii="黑体" w:eastAsia="黑体"/>
          <w:sz w:val="32"/>
          <w:szCs w:val="32"/>
        </w:rPr>
        <w:t>摘  要</w:t>
      </w:r>
      <w:bookmarkEnd w:id="0"/>
    </w:p>
    <w:p w14:paraId="00DD9A60" w14:textId="77777777" w:rsidR="00DC45C4" w:rsidRDefault="00DC45C4" w:rsidP="000931DC">
      <w:pPr>
        <w:spacing w:beforeLines="50" w:before="156" w:afterLines="50" w:after="156" w:line="360" w:lineRule="exact"/>
        <w:ind w:firstLine="0"/>
        <w:jc w:val="both"/>
      </w:pPr>
    </w:p>
    <w:p w14:paraId="50780F18" w14:textId="77777777" w:rsidR="00DC45C4" w:rsidRDefault="00000000" w:rsidP="000931DC">
      <w:pPr>
        <w:pStyle w:val="a3"/>
        <w:spacing w:beforeLines="50" w:before="156" w:afterLines="50" w:after="156" w:line="360" w:lineRule="exact"/>
        <w:ind w:firstLineChars="200" w:firstLine="452"/>
        <w:jc w:val="both"/>
        <w:rPr>
          <w:spacing w:val="-7"/>
        </w:rPr>
      </w:pPr>
      <w:r>
        <w:rPr>
          <w:spacing w:val="-7"/>
        </w:rPr>
        <w:t>本研究旨在探讨幼儿园建构游戏中材料投放的现状、存在的问题及优化策略。通过文献综述、实地调研和案例分析，研究发现当前幼儿园</w:t>
      </w:r>
      <w:proofErr w:type="gramStart"/>
      <w:r>
        <w:rPr>
          <w:spacing w:val="-7"/>
        </w:rPr>
        <w:t>建构区材料</w:t>
      </w:r>
      <w:proofErr w:type="gramEnd"/>
      <w:r>
        <w:rPr>
          <w:spacing w:val="-7"/>
        </w:rPr>
        <w:t>投放存在来源单一、分配不均、教师指导方式单一等问题。这些问题影响了幼儿的建构兴趣和能力发展。为此，本研究提出了优化建构材料来源、明确材料分配方式、重视教师指导方法等建议，以期为幼儿园</w:t>
      </w:r>
      <w:proofErr w:type="gramStart"/>
      <w:r>
        <w:rPr>
          <w:spacing w:val="-7"/>
        </w:rPr>
        <w:t>建构区</w:t>
      </w:r>
      <w:proofErr w:type="gramEnd"/>
      <w:r>
        <w:rPr>
          <w:spacing w:val="-7"/>
        </w:rPr>
        <w:t>的材料投放提供理论支持和实践参考，促进幼儿建构能力的发展，提升教师的专业素养</w:t>
      </w:r>
      <w:r>
        <w:t>。</w:t>
      </w:r>
    </w:p>
    <w:p w14:paraId="28E7EABB" w14:textId="77777777" w:rsidR="00DC45C4" w:rsidRDefault="00000000" w:rsidP="000931DC">
      <w:pPr>
        <w:pStyle w:val="a3"/>
        <w:spacing w:beforeLines="50" w:before="156" w:afterLines="50" w:after="156" w:line="360" w:lineRule="exact"/>
        <w:ind w:firstLineChars="200" w:firstLine="480"/>
        <w:jc w:val="both"/>
      </w:pPr>
      <w:r>
        <w:t>一、研究对象</w:t>
      </w:r>
    </w:p>
    <w:p w14:paraId="6424D329" w14:textId="77777777" w:rsidR="00DC45C4" w:rsidRDefault="00000000" w:rsidP="000931DC">
      <w:pPr>
        <w:pStyle w:val="a3"/>
        <w:spacing w:beforeLines="50" w:before="156" w:afterLines="50" w:after="156" w:line="360" w:lineRule="exact"/>
        <w:ind w:firstLineChars="200" w:firstLine="480"/>
        <w:jc w:val="both"/>
      </w:pPr>
      <w:r>
        <w:t>下面以广州市</w:t>
      </w:r>
      <w:proofErr w:type="gramStart"/>
      <w:r>
        <w:t>番禺区</w:t>
      </w:r>
      <w:proofErr w:type="gramEnd"/>
      <w:r>
        <w:t>陈涌幼儿园为例，以广州市</w:t>
      </w:r>
      <w:proofErr w:type="gramStart"/>
      <w:r>
        <w:t>番禺区</w:t>
      </w:r>
      <w:proofErr w:type="gramEnd"/>
      <w:r>
        <w:t>陈涌幼儿园大班幼儿为观察对象进行研究。</w:t>
      </w:r>
    </w:p>
    <w:p w14:paraId="73C5B3D1" w14:textId="77777777" w:rsidR="00DC45C4" w:rsidRDefault="00000000" w:rsidP="000931DC">
      <w:pPr>
        <w:pStyle w:val="a3"/>
        <w:spacing w:beforeLines="50" w:before="156" w:afterLines="50" w:after="156" w:line="360" w:lineRule="exact"/>
        <w:ind w:firstLineChars="200" w:firstLine="480"/>
        <w:jc w:val="both"/>
      </w:pPr>
      <w:r>
        <w:t>二、研究方法</w:t>
      </w:r>
    </w:p>
    <w:p w14:paraId="029056A9" w14:textId="77777777" w:rsidR="00DC45C4" w:rsidRDefault="00000000" w:rsidP="000931DC">
      <w:pPr>
        <w:pStyle w:val="a3"/>
        <w:spacing w:beforeLines="50" w:before="156" w:afterLines="50" w:after="156" w:line="360" w:lineRule="exact"/>
        <w:ind w:firstLineChars="200" w:firstLine="480"/>
        <w:jc w:val="both"/>
      </w:pPr>
      <w:r>
        <w:t>1.文献法</w:t>
      </w:r>
    </w:p>
    <w:p w14:paraId="76593D13" w14:textId="77777777" w:rsidR="00DC45C4" w:rsidRDefault="00000000" w:rsidP="000931DC">
      <w:pPr>
        <w:pStyle w:val="a3"/>
        <w:spacing w:beforeLines="50" w:before="156" w:afterLines="50" w:after="156" w:line="360" w:lineRule="exact"/>
        <w:ind w:firstLineChars="200" w:firstLine="480"/>
        <w:jc w:val="both"/>
      </w:pPr>
      <w:r>
        <w:t>通过图书馆、</w:t>
      </w:r>
      <w:proofErr w:type="gramStart"/>
      <w:r>
        <w:t>中国知网等</w:t>
      </w:r>
      <w:proofErr w:type="gramEnd"/>
      <w:r>
        <w:t>途径以“建构游戏”、“幼儿园”、“建构游戏材料投放”作为关键词，查找并总结出有关的近十年的文献，了解学界对该领域的研究现状与前沿动态，并对本研究的研究思路与研究方法提供一定的参考和借鉴。</w:t>
      </w:r>
    </w:p>
    <w:p w14:paraId="5888FE22" w14:textId="77777777" w:rsidR="00DC45C4" w:rsidRDefault="00000000" w:rsidP="000931DC">
      <w:pPr>
        <w:pStyle w:val="a3"/>
        <w:spacing w:beforeLines="50" w:before="156" w:afterLines="50" w:after="156" w:line="360" w:lineRule="exact"/>
        <w:ind w:firstLineChars="200" w:firstLine="480"/>
        <w:jc w:val="both"/>
      </w:pPr>
      <w:r>
        <w:t>2.观察法</w:t>
      </w:r>
    </w:p>
    <w:p w14:paraId="1A8A556A" w14:textId="77777777" w:rsidR="00DC45C4" w:rsidRDefault="00000000" w:rsidP="000931DC">
      <w:pPr>
        <w:pStyle w:val="a3"/>
        <w:spacing w:beforeLines="50" w:before="156" w:afterLines="50" w:after="156" w:line="360" w:lineRule="exact"/>
        <w:ind w:firstLineChars="200" w:firstLine="480"/>
        <w:jc w:val="both"/>
      </w:pPr>
      <w:r>
        <w:t>以广州市</w:t>
      </w:r>
      <w:proofErr w:type="gramStart"/>
      <w:r>
        <w:t>番禺区</w:t>
      </w:r>
      <w:proofErr w:type="gramEnd"/>
      <w:r>
        <w:t>陈涌幼儿园大班幼儿为观察对象，以“建构游戏材料投放”、“幼儿园建构游戏开展过程”以及“建构游戏材料投放对于幼儿游戏开展的影响”等内容作为观察指标，展开无结构观察，展开实地研究，探索观察对象的本质特征及内在规律。</w:t>
      </w:r>
    </w:p>
    <w:p w14:paraId="47FB8F09" w14:textId="77777777" w:rsidR="00DC45C4" w:rsidRDefault="00DC45C4" w:rsidP="000931DC">
      <w:pPr>
        <w:pStyle w:val="a3"/>
        <w:widowControl/>
        <w:spacing w:beforeLines="50" w:before="156" w:afterLines="50" w:after="156" w:line="360" w:lineRule="exact"/>
        <w:ind w:firstLineChars="200" w:firstLine="480"/>
        <w:jc w:val="both"/>
      </w:pPr>
    </w:p>
    <w:p w14:paraId="18AB29B5" w14:textId="77777777" w:rsidR="00DC45C4" w:rsidRDefault="00000000" w:rsidP="000931DC">
      <w:pPr>
        <w:pStyle w:val="a3"/>
        <w:widowControl/>
        <w:spacing w:beforeLines="50" w:before="156" w:afterLines="50" w:after="156" w:line="360" w:lineRule="exact"/>
        <w:ind w:firstLine="0"/>
        <w:rPr>
          <w:rFonts w:ascii="黑体" w:eastAsia="黑体" w:hAnsi="黑体"/>
          <w:w w:val="104"/>
        </w:rPr>
      </w:pPr>
      <w:r>
        <w:rPr>
          <w:rFonts w:ascii="黑体" w:eastAsia="黑体" w:hAnsi="黑体"/>
          <w:w w:val="104"/>
        </w:rPr>
        <w:t>关键词：</w:t>
      </w:r>
      <w:r>
        <w:rPr>
          <w:w w:val="104"/>
        </w:rPr>
        <w:t>幼儿园；建构游戏；材料投放；策略研究</w:t>
      </w:r>
    </w:p>
    <w:p w14:paraId="796BCBA2" w14:textId="77777777" w:rsidR="00DC45C4" w:rsidRDefault="00DC45C4" w:rsidP="000931DC">
      <w:pPr>
        <w:spacing w:beforeLines="50" w:before="156" w:afterLines="50" w:after="156" w:line="360" w:lineRule="exact"/>
        <w:ind w:firstLine="0"/>
        <w:jc w:val="both"/>
        <w:rPr>
          <w:sz w:val="24"/>
        </w:rPr>
      </w:pPr>
    </w:p>
    <w:p w14:paraId="376FFF9C" w14:textId="77777777" w:rsidR="00DC45C4" w:rsidRDefault="00DC45C4" w:rsidP="000931DC">
      <w:pPr>
        <w:spacing w:beforeLines="50" w:before="156" w:afterLines="50" w:after="156" w:line="360" w:lineRule="exact"/>
        <w:ind w:firstLine="0"/>
        <w:jc w:val="both"/>
        <w:rPr>
          <w:sz w:val="24"/>
        </w:rPr>
      </w:pPr>
    </w:p>
    <w:p w14:paraId="5EADE3F4" w14:textId="77777777" w:rsidR="00DC45C4" w:rsidRDefault="00DC45C4" w:rsidP="000931DC">
      <w:pPr>
        <w:spacing w:beforeLines="50" w:before="156" w:afterLines="50" w:after="156" w:line="360" w:lineRule="exact"/>
        <w:ind w:firstLine="0"/>
        <w:jc w:val="both"/>
        <w:rPr>
          <w:sz w:val="24"/>
        </w:rPr>
      </w:pPr>
    </w:p>
    <w:p w14:paraId="500EF124" w14:textId="77777777" w:rsidR="00DC45C4" w:rsidRDefault="00DC45C4" w:rsidP="000931DC">
      <w:pPr>
        <w:spacing w:beforeLines="50" w:before="156" w:afterLines="50" w:after="156" w:line="360" w:lineRule="exact"/>
        <w:ind w:firstLine="0"/>
        <w:jc w:val="both"/>
        <w:rPr>
          <w:sz w:val="24"/>
        </w:rPr>
      </w:pPr>
    </w:p>
    <w:p w14:paraId="6845C253" w14:textId="77777777" w:rsidR="00DC45C4" w:rsidRDefault="00DC45C4" w:rsidP="000931DC">
      <w:pPr>
        <w:spacing w:beforeLines="50" w:before="156" w:afterLines="50" w:after="156" w:line="360" w:lineRule="exact"/>
        <w:ind w:firstLine="0"/>
        <w:jc w:val="both"/>
        <w:rPr>
          <w:sz w:val="24"/>
        </w:rPr>
      </w:pPr>
    </w:p>
    <w:p w14:paraId="573CD898" w14:textId="77777777" w:rsidR="00DC45C4" w:rsidRDefault="00DC45C4" w:rsidP="000931DC">
      <w:pPr>
        <w:spacing w:beforeLines="50" w:before="156" w:afterLines="50" w:after="156" w:line="360" w:lineRule="exact"/>
        <w:ind w:firstLine="0"/>
        <w:jc w:val="both"/>
        <w:rPr>
          <w:sz w:val="24"/>
        </w:rPr>
      </w:pPr>
    </w:p>
    <w:p w14:paraId="544E3561" w14:textId="77777777" w:rsidR="00DC45C4" w:rsidRDefault="00000000" w:rsidP="000931DC">
      <w:pPr>
        <w:pageBreakBefore/>
        <w:tabs>
          <w:tab w:val="right" w:leader="dot" w:pos="8312"/>
        </w:tabs>
        <w:autoSpaceDE w:val="0"/>
        <w:autoSpaceDN w:val="0"/>
        <w:spacing w:beforeLines="50" w:before="156" w:afterLines="50" w:after="156" w:line="360" w:lineRule="exact"/>
        <w:ind w:firstLine="0"/>
        <w:outlineLvl w:val="0"/>
        <w:rPr>
          <w:rFonts w:ascii="黑体" w:eastAsia="黑体"/>
          <w:sz w:val="32"/>
          <w:szCs w:val="32"/>
        </w:rPr>
      </w:pPr>
      <w:bookmarkStart w:id="1" w:name="_Toc2322"/>
      <w:r>
        <w:rPr>
          <w:rFonts w:ascii="黑体" w:eastAsia="黑体"/>
          <w:sz w:val="32"/>
          <w:szCs w:val="32"/>
        </w:rPr>
        <w:lastRenderedPageBreak/>
        <w:t>目  录</w:t>
      </w:r>
      <w:bookmarkEnd w:id="1"/>
      <w:r>
        <w:rPr>
          <w:rFonts w:ascii="宋体" w:eastAsia="黑体" w:hAnsi="宋体"/>
          <w:sz w:val="32"/>
          <w:szCs w:val="30"/>
          <w:lang w:val="zh-CN" w:bidi="ar"/>
        </w:rPr>
        <w:fldChar w:fldCharType="begin"/>
      </w:r>
      <w:r>
        <w:rPr>
          <w:rFonts w:ascii="宋体" w:eastAsia="黑体" w:hAnsi="宋体" w:hint="eastAsia"/>
          <w:sz w:val="32"/>
          <w:szCs w:val="30"/>
          <w:lang w:val="zh-CN" w:bidi="ar"/>
        </w:rPr>
        <w:instrText xml:space="preserve">TOC \o "1-3" \h \u </w:instrText>
      </w:r>
      <w:r>
        <w:rPr>
          <w:rFonts w:ascii="宋体" w:eastAsia="黑体" w:hAnsi="宋体"/>
          <w:sz w:val="32"/>
          <w:szCs w:val="30"/>
          <w:lang w:val="zh-CN" w:bidi="ar"/>
        </w:rPr>
        <w:fldChar w:fldCharType="separate"/>
      </w:r>
    </w:p>
    <w:p w14:paraId="5762B53C" w14:textId="77777777" w:rsidR="00DC45C4" w:rsidRDefault="00DC45C4">
      <w:pPr>
        <w:spacing w:before="156" w:after="156"/>
      </w:pPr>
    </w:p>
    <w:p w14:paraId="00CFA753" w14:textId="77777777" w:rsidR="00DC45C4" w:rsidRPr="00C13DC3" w:rsidRDefault="00DC45C4" w:rsidP="00A56081">
      <w:pPr>
        <w:pStyle w:val="TOC1"/>
        <w:tabs>
          <w:tab w:val="right" w:leader="dot" w:pos="8312"/>
        </w:tabs>
        <w:spacing w:beforeLines="50" w:before="156" w:afterLines="50" w:after="156" w:line="360" w:lineRule="exact"/>
        <w:ind w:firstLineChars="200" w:firstLine="600"/>
        <w:jc w:val="both"/>
        <w:outlineLvl w:val="1"/>
        <w:rPr>
          <w:rFonts w:ascii="宋体" w:hAnsi="宋体" w:hint="eastAsia"/>
          <w:szCs w:val="30"/>
          <w:lang w:val="zh-CN" w:bidi="ar"/>
        </w:rPr>
      </w:pPr>
      <w:hyperlink w:anchor="_Toc29594" w:history="1">
        <w:r w:rsidRPr="00C13DC3">
          <w:rPr>
            <w:rFonts w:ascii="宋体" w:hAnsi="宋体" w:cs="宋体" w:hint="eastAsia"/>
            <w:szCs w:val="30"/>
          </w:rPr>
          <w:t>第一</w:t>
        </w:r>
        <w:r w:rsidRPr="00C13DC3">
          <w:rPr>
            <w:rFonts w:ascii="宋体" w:hAnsi="宋体" w:hint="eastAsia"/>
            <w:szCs w:val="30"/>
          </w:rPr>
          <w:t>章  前言</w:t>
        </w:r>
        <w:r w:rsidRPr="00C13DC3">
          <w:rPr>
            <w:rFonts w:ascii="宋体" w:hAnsi="宋体"/>
            <w:szCs w:val="30"/>
          </w:rPr>
          <w:tab/>
        </w:r>
        <w:r w:rsidRPr="00C13DC3">
          <w:rPr>
            <w:rFonts w:ascii="宋体" w:hAnsi="宋体" w:hint="eastAsia"/>
            <w:szCs w:val="30"/>
          </w:rPr>
          <w:fldChar w:fldCharType="begin"/>
        </w:r>
        <w:r w:rsidRPr="00C13DC3">
          <w:rPr>
            <w:rFonts w:ascii="宋体" w:hAnsi="宋体" w:hint="eastAsia"/>
            <w:szCs w:val="30"/>
          </w:rPr>
          <w:instrText xml:space="preserve"> PAGEREF _Toc29594 \h </w:instrText>
        </w:r>
        <w:r w:rsidRPr="00C13DC3">
          <w:rPr>
            <w:rFonts w:ascii="宋体" w:hAnsi="宋体" w:hint="eastAsia"/>
            <w:szCs w:val="30"/>
          </w:rPr>
        </w:r>
        <w:r w:rsidRPr="00C13DC3">
          <w:rPr>
            <w:rFonts w:ascii="宋体" w:hAnsi="宋体" w:hint="eastAsia"/>
            <w:szCs w:val="30"/>
          </w:rPr>
          <w:fldChar w:fldCharType="separate"/>
        </w:r>
        <w:r w:rsidRPr="00C13DC3">
          <w:rPr>
            <w:rFonts w:ascii="宋体" w:hAnsi="宋体" w:hint="eastAsia"/>
            <w:szCs w:val="30"/>
          </w:rPr>
          <w:t>1</w:t>
        </w:r>
        <w:r w:rsidRPr="00C13DC3">
          <w:rPr>
            <w:rFonts w:ascii="宋体" w:hAnsi="宋体" w:hint="eastAsia"/>
            <w:szCs w:val="30"/>
          </w:rPr>
          <w:fldChar w:fldCharType="end"/>
        </w:r>
      </w:hyperlink>
    </w:p>
    <w:p w14:paraId="3952DD8A" w14:textId="77777777" w:rsidR="00DC45C4" w:rsidRPr="00C13DC3" w:rsidRDefault="00DC45C4" w:rsidP="00C13DC3">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5788" w:history="1">
        <w:r w:rsidRPr="00C13DC3">
          <w:rPr>
            <w:rFonts w:ascii="宋体" w:hAnsi="宋体" w:hint="eastAsia"/>
            <w:szCs w:val="28"/>
          </w:rPr>
          <w:t>1.1研究背景</w:t>
        </w:r>
        <w:r w:rsidRPr="00C13DC3">
          <w:rPr>
            <w:rFonts w:ascii="宋体" w:hAnsi="宋体"/>
            <w:szCs w:val="28"/>
          </w:rPr>
          <w:tab/>
        </w:r>
        <w:r w:rsidRPr="00C13DC3">
          <w:rPr>
            <w:rFonts w:ascii="宋体" w:hAnsi="宋体" w:hint="eastAsia"/>
            <w:szCs w:val="28"/>
          </w:rPr>
          <w:fldChar w:fldCharType="begin"/>
        </w:r>
        <w:r w:rsidRPr="00C13DC3">
          <w:rPr>
            <w:rFonts w:ascii="宋体" w:hAnsi="宋体" w:hint="eastAsia"/>
            <w:szCs w:val="28"/>
          </w:rPr>
          <w:instrText xml:space="preserve"> PAGEREF _Toc5788 \h </w:instrText>
        </w:r>
        <w:r w:rsidRPr="00C13DC3">
          <w:rPr>
            <w:rFonts w:ascii="宋体" w:hAnsi="宋体" w:hint="eastAsia"/>
            <w:szCs w:val="28"/>
          </w:rPr>
        </w:r>
        <w:r w:rsidRPr="00C13DC3">
          <w:rPr>
            <w:rFonts w:ascii="宋体" w:hAnsi="宋体" w:hint="eastAsia"/>
            <w:szCs w:val="28"/>
          </w:rPr>
          <w:fldChar w:fldCharType="separate"/>
        </w:r>
        <w:r w:rsidRPr="00C13DC3">
          <w:rPr>
            <w:rFonts w:ascii="宋体" w:hAnsi="宋体" w:hint="eastAsia"/>
            <w:szCs w:val="28"/>
          </w:rPr>
          <w:t>1</w:t>
        </w:r>
        <w:r w:rsidRPr="00C13DC3">
          <w:rPr>
            <w:rFonts w:ascii="宋体" w:hAnsi="宋体" w:hint="eastAsia"/>
            <w:szCs w:val="28"/>
          </w:rPr>
          <w:fldChar w:fldCharType="end"/>
        </w:r>
      </w:hyperlink>
    </w:p>
    <w:p w14:paraId="3B09CE6D" w14:textId="77777777" w:rsidR="00DC45C4" w:rsidRPr="00C13DC3" w:rsidRDefault="00DC45C4" w:rsidP="00C13DC3">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26645" w:history="1">
        <w:r w:rsidRPr="00C13DC3">
          <w:rPr>
            <w:rFonts w:ascii="宋体" w:hAnsi="宋体" w:hint="eastAsia"/>
            <w:szCs w:val="28"/>
          </w:rPr>
          <w:t>1.2研究意义</w:t>
        </w:r>
        <w:r w:rsidRPr="00C13DC3">
          <w:rPr>
            <w:rFonts w:ascii="宋体" w:hAnsi="宋体"/>
            <w:szCs w:val="28"/>
          </w:rPr>
          <w:tab/>
        </w:r>
        <w:r w:rsidRPr="00C13DC3">
          <w:rPr>
            <w:rFonts w:ascii="宋体" w:hAnsi="宋体" w:hint="eastAsia"/>
            <w:szCs w:val="28"/>
          </w:rPr>
          <w:fldChar w:fldCharType="begin"/>
        </w:r>
        <w:r w:rsidRPr="00C13DC3">
          <w:rPr>
            <w:rFonts w:ascii="宋体" w:hAnsi="宋体" w:hint="eastAsia"/>
            <w:szCs w:val="28"/>
          </w:rPr>
          <w:instrText xml:space="preserve"> PAGEREF _Toc26645 \h </w:instrText>
        </w:r>
        <w:r w:rsidRPr="00C13DC3">
          <w:rPr>
            <w:rFonts w:ascii="宋体" w:hAnsi="宋体" w:hint="eastAsia"/>
            <w:szCs w:val="28"/>
          </w:rPr>
        </w:r>
        <w:r w:rsidRPr="00C13DC3">
          <w:rPr>
            <w:rFonts w:ascii="宋体" w:hAnsi="宋体" w:hint="eastAsia"/>
            <w:szCs w:val="28"/>
          </w:rPr>
          <w:fldChar w:fldCharType="separate"/>
        </w:r>
        <w:r w:rsidRPr="00C13DC3">
          <w:rPr>
            <w:rFonts w:ascii="宋体" w:hAnsi="宋体" w:hint="eastAsia"/>
            <w:szCs w:val="28"/>
          </w:rPr>
          <w:t>1</w:t>
        </w:r>
        <w:r w:rsidRPr="00C13DC3">
          <w:rPr>
            <w:rFonts w:ascii="宋体" w:hAnsi="宋体" w:hint="eastAsia"/>
            <w:szCs w:val="28"/>
          </w:rPr>
          <w:fldChar w:fldCharType="end"/>
        </w:r>
      </w:hyperlink>
    </w:p>
    <w:p w14:paraId="024101FE" w14:textId="77777777" w:rsidR="00DC45C4" w:rsidRPr="00C13DC3" w:rsidRDefault="00DC45C4" w:rsidP="00A56081">
      <w:pPr>
        <w:pStyle w:val="TOC1"/>
        <w:tabs>
          <w:tab w:val="right" w:leader="dot" w:pos="8312"/>
        </w:tabs>
        <w:spacing w:beforeLines="50" w:before="156" w:afterLines="50" w:after="156" w:line="360" w:lineRule="exact"/>
        <w:ind w:firstLineChars="200" w:firstLine="600"/>
        <w:jc w:val="both"/>
        <w:outlineLvl w:val="1"/>
        <w:rPr>
          <w:rFonts w:ascii="宋体" w:hAnsi="宋体" w:hint="eastAsia"/>
          <w:szCs w:val="30"/>
          <w:lang w:val="zh-CN" w:bidi="ar"/>
        </w:rPr>
      </w:pPr>
      <w:hyperlink w:anchor="_Toc10719" w:history="1">
        <w:r w:rsidRPr="00C13DC3">
          <w:rPr>
            <w:rFonts w:ascii="宋体" w:hAnsi="宋体" w:cs="宋体" w:hint="eastAsia"/>
            <w:szCs w:val="30"/>
          </w:rPr>
          <w:t>第二</w:t>
        </w:r>
        <w:r w:rsidRPr="00C13DC3">
          <w:rPr>
            <w:rFonts w:ascii="宋体" w:hAnsi="宋体" w:hint="eastAsia"/>
            <w:szCs w:val="30"/>
          </w:rPr>
          <w:t>章  建构游戏材料投放的现状与问题</w:t>
        </w:r>
        <w:r w:rsidRPr="00C13DC3">
          <w:rPr>
            <w:rFonts w:ascii="宋体" w:hAnsi="宋体"/>
            <w:szCs w:val="30"/>
          </w:rPr>
          <w:tab/>
        </w:r>
        <w:r w:rsidRPr="00C13DC3">
          <w:rPr>
            <w:rFonts w:ascii="宋体" w:hAnsi="宋体" w:hint="eastAsia"/>
            <w:szCs w:val="30"/>
          </w:rPr>
          <w:t>3</w:t>
        </w:r>
      </w:hyperlink>
    </w:p>
    <w:p w14:paraId="12F63150" w14:textId="77777777"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20685" w:history="1">
        <w:r w:rsidRPr="00C13DC3">
          <w:rPr>
            <w:rFonts w:ascii="宋体" w:hAnsi="宋体" w:hint="eastAsia"/>
            <w:szCs w:val="28"/>
          </w:rPr>
          <w:t>2.1幼儿园教师的基本信息及影响分析</w:t>
        </w:r>
        <w:r w:rsidRPr="00C13DC3">
          <w:rPr>
            <w:rFonts w:ascii="宋体" w:hAnsi="宋体"/>
            <w:szCs w:val="28"/>
          </w:rPr>
          <w:tab/>
        </w:r>
        <w:r w:rsidRPr="00C13DC3">
          <w:rPr>
            <w:rFonts w:ascii="宋体" w:hAnsi="宋体" w:hint="eastAsia"/>
            <w:szCs w:val="28"/>
          </w:rPr>
          <w:t>3</w:t>
        </w:r>
      </w:hyperlink>
    </w:p>
    <w:p w14:paraId="09CE7AD9" w14:textId="77777777"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10833" w:history="1">
        <w:r w:rsidRPr="00C13DC3">
          <w:rPr>
            <w:rFonts w:ascii="宋体" w:hAnsi="宋体" w:hint="eastAsia"/>
            <w:szCs w:val="28"/>
          </w:rPr>
          <w:t>2.2幼儿建构游戏材料投放现状分析与问题</w:t>
        </w:r>
        <w:r w:rsidRPr="00C13DC3">
          <w:rPr>
            <w:rFonts w:ascii="宋体" w:hAnsi="宋体"/>
            <w:szCs w:val="28"/>
          </w:rPr>
          <w:tab/>
        </w:r>
        <w:r w:rsidRPr="00C13DC3">
          <w:rPr>
            <w:rFonts w:ascii="宋体" w:hAnsi="宋体" w:hint="eastAsia"/>
            <w:szCs w:val="28"/>
          </w:rPr>
          <w:t>3</w:t>
        </w:r>
      </w:hyperlink>
    </w:p>
    <w:p w14:paraId="514B8476" w14:textId="77777777"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14664" w:history="1">
        <w:r w:rsidRPr="00C13DC3">
          <w:rPr>
            <w:rFonts w:ascii="宋体" w:hAnsi="宋体" w:hint="eastAsia"/>
            <w:szCs w:val="28"/>
            <w:lang w:bidi="ar"/>
          </w:rPr>
          <w:t>2.2.1材料类型</w:t>
        </w:r>
        <w:r w:rsidRPr="00C13DC3">
          <w:rPr>
            <w:rFonts w:ascii="宋体" w:hAnsi="宋体"/>
            <w:szCs w:val="28"/>
          </w:rPr>
          <w:tab/>
        </w:r>
        <w:r w:rsidRPr="00C13DC3">
          <w:rPr>
            <w:rFonts w:ascii="宋体" w:hAnsi="宋体" w:hint="eastAsia"/>
            <w:szCs w:val="28"/>
            <w:lang w:bidi="ar"/>
          </w:rPr>
          <w:t>3</w:t>
        </w:r>
      </w:hyperlink>
    </w:p>
    <w:p w14:paraId="59259475" w14:textId="78419153"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26250" w:history="1">
        <w:r w:rsidRPr="00C13DC3">
          <w:rPr>
            <w:rFonts w:ascii="宋体" w:hAnsi="宋体" w:hint="eastAsia"/>
            <w:szCs w:val="28"/>
            <w:lang w:bidi="ar"/>
          </w:rPr>
          <w:t>2.2.2投放方式</w:t>
        </w:r>
        <w:r w:rsidRPr="00C13DC3">
          <w:rPr>
            <w:rFonts w:ascii="宋体" w:hAnsi="宋体"/>
            <w:szCs w:val="28"/>
          </w:rPr>
          <w:tab/>
        </w:r>
        <w:r w:rsidR="006631E4" w:rsidRPr="00C13DC3">
          <w:rPr>
            <w:rFonts w:ascii="宋体" w:hAnsi="宋体" w:hint="eastAsia"/>
            <w:szCs w:val="28"/>
            <w:lang w:bidi="ar"/>
          </w:rPr>
          <w:t>4</w:t>
        </w:r>
      </w:hyperlink>
    </w:p>
    <w:p w14:paraId="11BD346F" w14:textId="77777777"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2626" w:history="1">
        <w:r w:rsidRPr="00C13DC3">
          <w:rPr>
            <w:rFonts w:ascii="宋体" w:hAnsi="宋体" w:hint="eastAsia"/>
            <w:szCs w:val="28"/>
            <w:lang w:bidi="ar"/>
          </w:rPr>
          <w:t>2.2.3教师指导</w:t>
        </w:r>
        <w:r w:rsidRPr="00C13DC3">
          <w:rPr>
            <w:rFonts w:ascii="宋体" w:hAnsi="宋体"/>
            <w:szCs w:val="28"/>
          </w:rPr>
          <w:tab/>
        </w:r>
        <w:r w:rsidRPr="00C13DC3">
          <w:rPr>
            <w:rFonts w:ascii="宋体" w:hAnsi="宋体" w:hint="eastAsia"/>
            <w:szCs w:val="28"/>
            <w:lang w:bidi="ar"/>
          </w:rPr>
          <w:t>4</w:t>
        </w:r>
      </w:hyperlink>
    </w:p>
    <w:p w14:paraId="22913754" w14:textId="77777777" w:rsidR="00DC45C4" w:rsidRPr="00C13DC3" w:rsidRDefault="00DC45C4" w:rsidP="00681746">
      <w:pPr>
        <w:pStyle w:val="TOC1"/>
        <w:tabs>
          <w:tab w:val="right" w:leader="dot" w:pos="8312"/>
        </w:tabs>
        <w:spacing w:beforeLines="50" w:before="156" w:afterLines="50" w:after="156" w:line="360" w:lineRule="exact"/>
        <w:ind w:firstLineChars="200" w:firstLine="600"/>
        <w:jc w:val="both"/>
        <w:outlineLvl w:val="1"/>
        <w:rPr>
          <w:rFonts w:ascii="宋体" w:hAnsi="宋体" w:hint="eastAsia"/>
          <w:szCs w:val="30"/>
          <w:lang w:val="zh-CN" w:bidi="ar"/>
        </w:rPr>
      </w:pPr>
      <w:hyperlink w:anchor="_Toc11982" w:history="1">
        <w:r w:rsidRPr="00C13DC3">
          <w:rPr>
            <w:rFonts w:ascii="宋体" w:hAnsi="宋体" w:hint="eastAsia"/>
            <w:kern w:val="0"/>
            <w:szCs w:val="30"/>
            <w:lang w:bidi="ar"/>
          </w:rPr>
          <w:t>第三章  建构游戏材料投放建议</w:t>
        </w:r>
        <w:r w:rsidRPr="00C13DC3">
          <w:rPr>
            <w:rFonts w:ascii="宋体" w:hAnsi="宋体"/>
            <w:szCs w:val="30"/>
          </w:rPr>
          <w:tab/>
        </w:r>
        <w:r w:rsidRPr="00C13DC3">
          <w:rPr>
            <w:rFonts w:ascii="宋体" w:hAnsi="宋体" w:hint="eastAsia"/>
            <w:szCs w:val="30"/>
          </w:rPr>
          <w:t>5</w:t>
        </w:r>
      </w:hyperlink>
    </w:p>
    <w:p w14:paraId="3804636A" w14:textId="77777777"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7039" w:history="1">
        <w:r w:rsidRPr="00C13DC3">
          <w:rPr>
            <w:rFonts w:ascii="宋体" w:hAnsi="宋体" w:hint="eastAsia"/>
            <w:szCs w:val="28"/>
            <w:lang w:bidi="ar"/>
          </w:rPr>
          <w:t>3</w:t>
        </w:r>
        <w:r w:rsidRPr="00C13DC3">
          <w:rPr>
            <w:rFonts w:ascii="宋体" w:hAnsi="宋体" w:hint="eastAsia"/>
            <w:kern w:val="0"/>
            <w:szCs w:val="28"/>
            <w:lang w:bidi="ar"/>
          </w:rPr>
          <w:t>.1优化建构材料提供来源</w:t>
        </w:r>
        <w:r w:rsidRPr="00C13DC3">
          <w:rPr>
            <w:rFonts w:ascii="宋体" w:hAnsi="宋体"/>
            <w:szCs w:val="28"/>
          </w:rPr>
          <w:tab/>
        </w:r>
        <w:r w:rsidRPr="00C13DC3">
          <w:rPr>
            <w:rFonts w:ascii="宋体" w:hAnsi="宋体" w:hint="eastAsia"/>
            <w:szCs w:val="28"/>
          </w:rPr>
          <w:t>5</w:t>
        </w:r>
      </w:hyperlink>
    </w:p>
    <w:p w14:paraId="1B66A171" w14:textId="77777777"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27167" w:history="1">
        <w:r w:rsidRPr="00C13DC3">
          <w:rPr>
            <w:rFonts w:ascii="宋体" w:hAnsi="宋体" w:hint="eastAsia"/>
            <w:szCs w:val="28"/>
            <w:lang w:bidi="ar"/>
          </w:rPr>
          <w:t>3</w:t>
        </w:r>
        <w:r w:rsidRPr="00C13DC3">
          <w:rPr>
            <w:rFonts w:ascii="宋体" w:hAnsi="宋体" w:hint="eastAsia"/>
            <w:kern w:val="0"/>
            <w:szCs w:val="28"/>
            <w:lang w:bidi="ar"/>
          </w:rPr>
          <w:t>.2明确建构材料分配问题</w:t>
        </w:r>
        <w:r w:rsidRPr="00C13DC3">
          <w:rPr>
            <w:rFonts w:ascii="宋体" w:hAnsi="宋体"/>
            <w:szCs w:val="28"/>
          </w:rPr>
          <w:tab/>
        </w:r>
        <w:r w:rsidRPr="00C13DC3">
          <w:rPr>
            <w:rFonts w:ascii="宋体" w:hAnsi="宋体" w:hint="eastAsia"/>
            <w:szCs w:val="28"/>
          </w:rPr>
          <w:t>5</w:t>
        </w:r>
      </w:hyperlink>
    </w:p>
    <w:p w14:paraId="4B4C2DEA" w14:textId="77777777" w:rsidR="00DC45C4" w:rsidRPr="00C13DC3" w:rsidRDefault="00DC45C4" w:rsidP="006631E4">
      <w:pPr>
        <w:pStyle w:val="TOC2"/>
        <w:tabs>
          <w:tab w:val="right" w:leader="dot" w:pos="8312"/>
        </w:tabs>
        <w:spacing w:beforeLines="50" w:before="156" w:afterLines="50" w:after="156" w:line="360" w:lineRule="exact"/>
        <w:ind w:leftChars="0" w:left="0" w:firstLineChars="300" w:firstLine="840"/>
        <w:jc w:val="both"/>
        <w:outlineLvl w:val="1"/>
        <w:rPr>
          <w:rFonts w:ascii="宋体" w:hAnsi="宋体" w:hint="eastAsia"/>
          <w:szCs w:val="28"/>
          <w:lang w:val="zh-CN" w:bidi="ar"/>
        </w:rPr>
      </w:pPr>
      <w:hyperlink w:anchor="_Toc5405" w:history="1">
        <w:r w:rsidRPr="00C13DC3">
          <w:rPr>
            <w:rFonts w:ascii="宋体" w:hAnsi="宋体" w:hint="eastAsia"/>
            <w:szCs w:val="28"/>
            <w:lang w:bidi="ar"/>
          </w:rPr>
          <w:t>3</w:t>
        </w:r>
        <w:r w:rsidRPr="00C13DC3">
          <w:rPr>
            <w:rFonts w:ascii="宋体" w:hAnsi="宋体" w:hint="eastAsia"/>
            <w:kern w:val="0"/>
            <w:szCs w:val="28"/>
            <w:lang w:bidi="ar"/>
          </w:rPr>
          <w:t>.3重视幼儿园教师指导方式问题</w:t>
        </w:r>
        <w:r w:rsidRPr="00C13DC3">
          <w:rPr>
            <w:rFonts w:ascii="宋体" w:hAnsi="宋体"/>
            <w:szCs w:val="28"/>
          </w:rPr>
          <w:tab/>
        </w:r>
        <w:r w:rsidRPr="00C13DC3">
          <w:rPr>
            <w:rFonts w:ascii="宋体" w:hAnsi="宋体" w:hint="eastAsia"/>
            <w:szCs w:val="28"/>
          </w:rPr>
          <w:t>6</w:t>
        </w:r>
      </w:hyperlink>
    </w:p>
    <w:p w14:paraId="448A36E2" w14:textId="77777777" w:rsidR="00DC45C4" w:rsidRPr="00C13DC3" w:rsidRDefault="00DC45C4" w:rsidP="00681746">
      <w:pPr>
        <w:pStyle w:val="TOC1"/>
        <w:tabs>
          <w:tab w:val="right" w:leader="dot" w:pos="8312"/>
        </w:tabs>
        <w:spacing w:beforeLines="50" w:before="156" w:afterLines="50" w:after="156" w:line="360" w:lineRule="exact"/>
        <w:ind w:firstLineChars="200" w:firstLine="600"/>
        <w:jc w:val="both"/>
        <w:outlineLvl w:val="1"/>
        <w:rPr>
          <w:rFonts w:ascii="宋体" w:hAnsi="宋体" w:hint="eastAsia"/>
          <w:szCs w:val="30"/>
          <w:lang w:val="zh-CN" w:bidi="ar"/>
        </w:rPr>
      </w:pPr>
      <w:hyperlink w:anchor="_Toc4279" w:history="1">
        <w:r w:rsidRPr="00C13DC3">
          <w:rPr>
            <w:rFonts w:ascii="宋体" w:hAnsi="宋体" w:hint="eastAsia"/>
            <w:kern w:val="0"/>
            <w:szCs w:val="30"/>
            <w:lang w:bidi="ar"/>
          </w:rPr>
          <w:t>结论</w:t>
        </w:r>
        <w:r w:rsidRPr="00C13DC3">
          <w:rPr>
            <w:rFonts w:ascii="宋体" w:hAnsi="宋体"/>
            <w:szCs w:val="30"/>
          </w:rPr>
          <w:tab/>
        </w:r>
        <w:r w:rsidRPr="00C13DC3">
          <w:rPr>
            <w:rFonts w:ascii="宋体" w:hAnsi="宋体" w:hint="eastAsia"/>
            <w:szCs w:val="30"/>
          </w:rPr>
          <w:t>7</w:t>
        </w:r>
      </w:hyperlink>
    </w:p>
    <w:p w14:paraId="056863E2" w14:textId="77777777" w:rsidR="00DC45C4" w:rsidRPr="00C13DC3" w:rsidRDefault="00DC45C4" w:rsidP="00681746">
      <w:pPr>
        <w:pStyle w:val="TOC1"/>
        <w:tabs>
          <w:tab w:val="right" w:leader="dot" w:pos="8312"/>
        </w:tabs>
        <w:spacing w:beforeLines="50" w:before="156" w:afterLines="50" w:after="156" w:line="360" w:lineRule="exact"/>
        <w:ind w:firstLineChars="200" w:firstLine="600"/>
        <w:jc w:val="both"/>
        <w:outlineLvl w:val="1"/>
        <w:rPr>
          <w:rFonts w:ascii="宋体" w:hAnsi="宋体" w:hint="eastAsia"/>
          <w:szCs w:val="30"/>
          <w:lang w:val="zh-CN" w:bidi="ar"/>
        </w:rPr>
      </w:pPr>
      <w:hyperlink w:anchor="_Toc9371" w:history="1">
        <w:r w:rsidRPr="00C13DC3">
          <w:rPr>
            <w:rFonts w:ascii="宋体" w:hAnsi="宋体" w:hint="eastAsia"/>
            <w:bCs/>
            <w:kern w:val="0"/>
            <w:szCs w:val="30"/>
            <w:lang w:bidi="ar"/>
          </w:rPr>
          <w:t>致谢</w:t>
        </w:r>
        <w:r w:rsidRPr="00C13DC3">
          <w:rPr>
            <w:rFonts w:ascii="宋体" w:hAnsi="宋体"/>
            <w:szCs w:val="30"/>
          </w:rPr>
          <w:tab/>
        </w:r>
        <w:r w:rsidRPr="00C13DC3">
          <w:rPr>
            <w:rFonts w:ascii="宋体" w:hAnsi="宋体" w:hint="eastAsia"/>
            <w:szCs w:val="30"/>
          </w:rPr>
          <w:t>8</w:t>
        </w:r>
      </w:hyperlink>
    </w:p>
    <w:p w14:paraId="74CAC514" w14:textId="77777777" w:rsidR="00DC45C4" w:rsidRPr="00C13DC3" w:rsidRDefault="00DC45C4" w:rsidP="00C71BD0">
      <w:pPr>
        <w:pStyle w:val="TOC1"/>
        <w:tabs>
          <w:tab w:val="right" w:leader="dot" w:pos="8312"/>
        </w:tabs>
        <w:spacing w:beforeLines="50" w:before="156" w:afterLines="50" w:after="156" w:line="360" w:lineRule="exact"/>
        <w:ind w:firstLineChars="200" w:firstLine="600"/>
        <w:jc w:val="both"/>
        <w:outlineLvl w:val="1"/>
        <w:rPr>
          <w:rFonts w:ascii="宋体" w:hAnsi="宋体" w:hint="eastAsia"/>
          <w:szCs w:val="30"/>
        </w:rPr>
      </w:pPr>
      <w:hyperlink w:anchor="_Toc8070" w:history="1">
        <w:r w:rsidRPr="00C13DC3">
          <w:rPr>
            <w:rFonts w:ascii="宋体" w:hAnsi="宋体" w:hint="eastAsia"/>
            <w:kern w:val="0"/>
            <w:szCs w:val="30"/>
            <w:lang w:bidi="ar"/>
          </w:rPr>
          <w:t>参考</w:t>
        </w:r>
        <w:r w:rsidRPr="00C13DC3">
          <w:rPr>
            <w:rFonts w:ascii="宋体" w:hAnsi="宋体" w:hint="eastAsia"/>
            <w:szCs w:val="30"/>
          </w:rPr>
          <w:t>文献</w:t>
        </w:r>
        <w:r w:rsidRPr="00C13DC3">
          <w:rPr>
            <w:rFonts w:ascii="宋体" w:hAnsi="宋体"/>
            <w:szCs w:val="30"/>
          </w:rPr>
          <w:tab/>
        </w:r>
        <w:r w:rsidRPr="00C13DC3">
          <w:rPr>
            <w:rFonts w:ascii="宋体" w:hAnsi="宋体" w:hint="eastAsia"/>
            <w:szCs w:val="30"/>
          </w:rPr>
          <w:t>9</w:t>
        </w:r>
      </w:hyperlink>
    </w:p>
    <w:p w14:paraId="10CC782C" w14:textId="77777777" w:rsidR="00A56081" w:rsidRPr="00A56081" w:rsidRDefault="00A56081" w:rsidP="00C71BD0">
      <w:pPr>
        <w:pStyle w:val="TOC1"/>
        <w:tabs>
          <w:tab w:val="right" w:leader="dot" w:pos="8312"/>
        </w:tabs>
        <w:spacing w:beforeLines="50" w:before="156" w:afterLines="50" w:after="156" w:line="360" w:lineRule="exact"/>
        <w:ind w:firstLineChars="200" w:firstLine="600"/>
        <w:jc w:val="both"/>
        <w:outlineLvl w:val="1"/>
        <w:rPr>
          <w:rFonts w:ascii="宋体" w:hAnsi="宋体" w:hint="eastAsia"/>
          <w:szCs w:val="30"/>
          <w:lang w:val="zh-CN" w:bidi="ar"/>
        </w:rPr>
        <w:sectPr w:rsidR="00A56081" w:rsidRPr="00A56081">
          <w:headerReference w:type="even" r:id="rId7"/>
          <w:headerReference w:type="default" r:id="rId8"/>
          <w:footerReference w:type="even" r:id="rId9"/>
          <w:footerReference w:type="default" r:id="rId10"/>
          <w:headerReference w:type="first" r:id="rId11"/>
          <w:footerReference w:type="first" r:id="rId12"/>
          <w:pgSz w:w="11906" w:h="16838"/>
          <w:pgMar w:top="1440" w:right="1797" w:bottom="1440" w:left="1797" w:header="851" w:footer="992" w:gutter="0"/>
          <w:pgNumType w:start="1"/>
          <w:cols w:space="720"/>
          <w:docGrid w:type="lines" w:linePitch="312"/>
        </w:sectPr>
      </w:pPr>
    </w:p>
    <w:p w14:paraId="0F2AE3C3" w14:textId="77777777" w:rsidR="00DC45C4" w:rsidRDefault="00000000" w:rsidP="00AE7C9B">
      <w:pPr>
        <w:pageBreakBefore/>
        <w:tabs>
          <w:tab w:val="right" w:leader="dot" w:pos="8312"/>
        </w:tabs>
        <w:autoSpaceDE w:val="0"/>
        <w:autoSpaceDN w:val="0"/>
        <w:spacing w:beforeLines="50" w:before="156" w:afterLines="50" w:after="156" w:line="360" w:lineRule="exact"/>
        <w:ind w:firstLine="0"/>
        <w:outlineLvl w:val="0"/>
        <w:rPr>
          <w:lang w:val="zh-CN" w:bidi="ar"/>
        </w:rPr>
      </w:pPr>
      <w:r>
        <w:rPr>
          <w:lang w:val="zh-CN" w:bidi="ar"/>
        </w:rPr>
        <w:lastRenderedPageBreak/>
        <w:fldChar w:fldCharType="end"/>
      </w:r>
      <w:bookmarkStart w:id="2" w:name="_Toc29594"/>
      <w:r w:rsidRPr="00AE7C9B">
        <w:rPr>
          <w:rFonts w:ascii="黑体" w:eastAsia="黑体"/>
          <w:sz w:val="32"/>
          <w:szCs w:val="32"/>
        </w:rPr>
        <w:t>第一</w:t>
      </w:r>
      <w:r>
        <w:rPr>
          <w:rFonts w:ascii="黑体" w:eastAsia="黑体" w:hAnsi="黑体"/>
          <w:sz w:val="30"/>
          <w:szCs w:val="30"/>
        </w:rPr>
        <w:t>章  前言</w:t>
      </w:r>
      <w:bookmarkEnd w:id="2"/>
    </w:p>
    <w:p w14:paraId="7B707705" w14:textId="77777777" w:rsidR="00DC45C4" w:rsidRDefault="00DC45C4">
      <w:pPr>
        <w:spacing w:before="156" w:after="156" w:line="360" w:lineRule="exact"/>
        <w:jc w:val="both"/>
      </w:pPr>
      <w:bookmarkStart w:id="3" w:name="_bookmark2"/>
      <w:bookmarkEnd w:id="3"/>
    </w:p>
    <w:p w14:paraId="2492EA16" w14:textId="77777777" w:rsidR="00DC45C4" w:rsidRDefault="00000000" w:rsidP="00681746">
      <w:pPr>
        <w:pStyle w:val="2"/>
        <w:widowControl/>
        <w:spacing w:beforeLines="50" w:before="156" w:afterLines="50" w:after="156" w:line="360" w:lineRule="exact"/>
        <w:ind w:right="0" w:firstLine="0"/>
        <w:jc w:val="left"/>
        <w:rPr>
          <w:rFonts w:ascii="黑体" w:eastAsia="黑体"/>
          <w:sz w:val="28"/>
          <w:szCs w:val="28"/>
        </w:rPr>
      </w:pPr>
      <w:r>
        <w:rPr>
          <w:rFonts w:ascii="黑体" w:eastAsia="黑体"/>
          <w:sz w:val="28"/>
          <w:szCs w:val="28"/>
        </w:rPr>
        <w:t>1.1研究背景</w:t>
      </w:r>
    </w:p>
    <w:p w14:paraId="332B1DCB" w14:textId="77777777" w:rsidR="00DC45C4" w:rsidRDefault="00000000" w:rsidP="00D5476B">
      <w:pPr>
        <w:pStyle w:val="a8"/>
        <w:autoSpaceDE w:val="0"/>
        <w:autoSpaceDN w:val="0"/>
        <w:spacing w:beforeLines="50" w:before="156" w:afterLines="50" w:after="156" w:line="360" w:lineRule="exact"/>
        <w:ind w:firstLineChars="200" w:firstLine="460"/>
        <w:jc w:val="both"/>
        <w:rPr>
          <w:rFonts w:ascii="宋体" w:hAnsi="宋体" w:hint="eastAsia"/>
          <w:spacing w:val="-5"/>
          <w:kern w:val="0"/>
          <w:lang w:bidi="ar"/>
        </w:rPr>
      </w:pPr>
      <w:r w:rsidRPr="00971E15">
        <w:rPr>
          <w:rFonts w:ascii="宋体" w:hAnsi="宋体" w:cs="宋体" w:hint="eastAsia"/>
          <w:spacing w:val="-5"/>
          <w:kern w:val="0"/>
          <w:lang w:bidi="ar"/>
        </w:rPr>
        <w:t>在幼儿教育领域，建构游戏作为一种极具价值的活动形式，正日益受到国家的</w:t>
      </w:r>
      <w:r>
        <w:rPr>
          <w:rFonts w:ascii="宋体" w:hAnsi="宋体" w:hint="eastAsia"/>
          <w:spacing w:val="-5"/>
          <w:kern w:val="0"/>
          <w:lang w:bidi="ar"/>
        </w:rPr>
        <w:t>高度重视。《幼儿园工作规程》明确指出，幼儿园应开展多种游戏活动，为幼儿提供丰富的游戏材料，满足幼儿通过直接感知、实际操作和亲身体验获取经验的需要，建构游戏便是其中重要的组成部分。《3 - 6岁儿童学习与发展指南》也进一步强调，要充分利用各种自然和材料，支持幼儿在游戏中通过操作、探究等方式获得发展，建构游戏对于幼儿空间感知、创造力、问题解决能力等方面的发展具有不可替代的作用。</w:t>
      </w:r>
    </w:p>
    <w:p w14:paraId="1822B962" w14:textId="77777777" w:rsidR="00DC45C4" w:rsidRDefault="00000000" w:rsidP="00D5476B">
      <w:pPr>
        <w:pStyle w:val="a8"/>
        <w:autoSpaceDE w:val="0"/>
        <w:autoSpaceDN w:val="0"/>
        <w:spacing w:beforeLines="50" w:before="156" w:afterLines="50" w:after="156" w:line="360" w:lineRule="exact"/>
        <w:ind w:firstLineChars="200" w:firstLine="460"/>
        <w:jc w:val="both"/>
        <w:rPr>
          <w:rFonts w:ascii="宋体" w:hAnsi="宋体" w:hint="eastAsia"/>
          <w:spacing w:val="-5"/>
          <w:kern w:val="0"/>
          <w:lang w:bidi="ar"/>
        </w:rPr>
      </w:pPr>
      <w:r w:rsidRPr="00971E15">
        <w:rPr>
          <w:rFonts w:ascii="宋体" w:hAnsi="宋体" w:cs="宋体" w:hint="eastAsia"/>
          <w:spacing w:val="-5"/>
          <w:kern w:val="0"/>
          <w:lang w:bidi="ar"/>
        </w:rPr>
        <w:t>然而</w:t>
      </w:r>
      <w:r>
        <w:rPr>
          <w:rFonts w:ascii="宋体" w:hAnsi="宋体" w:hint="eastAsia"/>
          <w:spacing w:val="-5"/>
          <w:kern w:val="0"/>
          <w:lang w:bidi="ar"/>
        </w:rPr>
        <w:t>，当前幼儿园建构游戏的开展情况却不容乐观。据相关调研数据显示，高达30%的班级在建构游戏中出现了偏离主题材料的现象。这一数据深刻地揭示了材料投放问题在幼儿园建构游戏中具有相当的普遍性。若不及时解决材料投放问题，将严重影响建构游戏的质量和效果，阻碍幼儿在游戏中获得全面发展。因此，深入研究幼儿园建构游戏的材料投放问题已迫在眉睫。</w:t>
      </w:r>
    </w:p>
    <w:p w14:paraId="072EA6C4" w14:textId="77777777" w:rsidR="00DC45C4" w:rsidRDefault="00000000" w:rsidP="00D5476B">
      <w:pPr>
        <w:pStyle w:val="a8"/>
        <w:autoSpaceDE w:val="0"/>
        <w:autoSpaceDN w:val="0"/>
        <w:spacing w:beforeLines="50" w:before="156" w:afterLines="50" w:after="156" w:line="360" w:lineRule="exact"/>
        <w:ind w:firstLineChars="200" w:firstLine="460"/>
        <w:jc w:val="both"/>
        <w:rPr>
          <w:rFonts w:ascii="宋体" w:hAnsi="宋体" w:hint="eastAsia"/>
          <w:spacing w:val="-5"/>
          <w:kern w:val="0"/>
          <w:lang w:bidi="ar"/>
        </w:rPr>
      </w:pPr>
      <w:r>
        <w:rPr>
          <w:rFonts w:ascii="宋体" w:hAnsi="宋体" w:hint="eastAsia"/>
          <w:spacing w:val="-5"/>
          <w:kern w:val="0"/>
          <w:lang w:bidi="ar"/>
        </w:rPr>
        <w:t>对儿童的全面发展具有不可替代的深远影响。它不仅关乎儿童的知识积累，更涉及到儿童的情感、社交、认知和身体等多方面的发展。近年来，随着国家对学前教育的日益重视，以及社会各界对幼儿教育质量的广泛关注，幼儿园教育质量得到了显著提升。在这一背景下，各种富有创意和教育意义的教学活动不断涌现，其中，建构游戏以其独特的魅力，成为了幼儿园教育的重要组成部分。</w:t>
      </w:r>
    </w:p>
    <w:p w14:paraId="23C06F97" w14:textId="77777777" w:rsidR="00DC45C4" w:rsidRDefault="00000000" w:rsidP="00D5476B">
      <w:pPr>
        <w:pStyle w:val="a8"/>
        <w:autoSpaceDE w:val="0"/>
        <w:autoSpaceDN w:val="0"/>
        <w:spacing w:beforeLines="50" w:before="156" w:afterLines="50" w:after="156" w:line="360" w:lineRule="exact"/>
        <w:ind w:firstLineChars="200" w:firstLine="460"/>
        <w:jc w:val="both"/>
        <w:rPr>
          <w:rFonts w:ascii="宋体" w:hAnsi="宋体" w:hint="eastAsia"/>
          <w:spacing w:val="-5"/>
          <w:kern w:val="0"/>
          <w:lang w:bidi="ar"/>
        </w:rPr>
      </w:pPr>
      <w:r>
        <w:rPr>
          <w:rFonts w:ascii="宋体" w:hAnsi="宋体" w:hint="eastAsia"/>
          <w:spacing w:val="-5"/>
          <w:kern w:val="0"/>
          <w:lang w:bidi="ar"/>
        </w:rPr>
        <w:t>建构游戏是一种通过动手操作建构材料，以模拟、创造和表现为主要形式的游戏活动。它不仅能够激发幼儿的想象力和创造力，还能在无形中培养幼儿的空间智能、动手能力、问题解决能力和团队合作精神。在幼儿园环境中，</w:t>
      </w:r>
      <w:proofErr w:type="gramStart"/>
      <w:r>
        <w:rPr>
          <w:rFonts w:ascii="宋体" w:hAnsi="宋体" w:hint="eastAsia"/>
          <w:spacing w:val="-5"/>
          <w:kern w:val="0"/>
          <w:lang w:bidi="ar"/>
        </w:rPr>
        <w:t>建构区</w:t>
      </w:r>
      <w:proofErr w:type="gramEnd"/>
      <w:r>
        <w:rPr>
          <w:rFonts w:ascii="宋体" w:hAnsi="宋体" w:hint="eastAsia"/>
          <w:spacing w:val="-5"/>
          <w:kern w:val="0"/>
          <w:lang w:bidi="ar"/>
        </w:rPr>
        <w:t>作为幼儿进行建构游戏的主要场所，其设置和材料投放的合理性，直接关系到建构游戏的开展效果和教育价值的实现。</w:t>
      </w:r>
    </w:p>
    <w:p w14:paraId="2885CB26" w14:textId="77777777" w:rsidR="00DC45C4" w:rsidRDefault="00000000" w:rsidP="00D5476B">
      <w:pPr>
        <w:pStyle w:val="a8"/>
        <w:autoSpaceDE w:val="0"/>
        <w:autoSpaceDN w:val="0"/>
        <w:spacing w:line="360" w:lineRule="exact"/>
        <w:ind w:firstLineChars="200" w:firstLine="460"/>
        <w:jc w:val="both"/>
        <w:rPr>
          <w:rFonts w:ascii="宋体" w:hAnsi="宋体" w:hint="eastAsia"/>
          <w:spacing w:val="-5"/>
          <w:kern w:val="0"/>
          <w:lang w:bidi="ar"/>
        </w:rPr>
      </w:pPr>
      <w:r>
        <w:rPr>
          <w:rFonts w:ascii="宋体" w:hAnsi="宋体" w:hint="eastAsia"/>
          <w:spacing w:val="-5"/>
          <w:kern w:val="0"/>
          <w:lang w:bidi="ar"/>
        </w:rPr>
        <w:t>然而，在实际操作中，我们发现当前幼儿园</w:t>
      </w:r>
      <w:proofErr w:type="gramStart"/>
      <w:r>
        <w:rPr>
          <w:rFonts w:ascii="宋体" w:hAnsi="宋体" w:hint="eastAsia"/>
          <w:spacing w:val="-5"/>
          <w:kern w:val="0"/>
          <w:lang w:bidi="ar"/>
        </w:rPr>
        <w:t>建构区材料</w:t>
      </w:r>
      <w:proofErr w:type="gramEnd"/>
      <w:r>
        <w:rPr>
          <w:rFonts w:ascii="宋体" w:hAnsi="宋体" w:hint="eastAsia"/>
          <w:spacing w:val="-5"/>
          <w:kern w:val="0"/>
          <w:lang w:bidi="ar"/>
        </w:rPr>
        <w:t>的投放存在诸多问题。一方面，材料种类单一，缺乏多样性和层次性，难以满足幼儿不同发展阶段和个体差异的需求；另一方面，材料投放的数量和频率不合理，有的幼儿</w:t>
      </w:r>
      <w:proofErr w:type="gramStart"/>
      <w:r>
        <w:rPr>
          <w:rFonts w:ascii="宋体" w:hAnsi="宋体" w:hint="eastAsia"/>
          <w:spacing w:val="-5"/>
          <w:kern w:val="0"/>
          <w:lang w:bidi="ar"/>
        </w:rPr>
        <w:t>园材</w:t>
      </w:r>
      <w:proofErr w:type="gramEnd"/>
      <w:r>
        <w:rPr>
          <w:rFonts w:ascii="宋体" w:hAnsi="宋体" w:hint="eastAsia"/>
          <w:spacing w:val="-5"/>
          <w:kern w:val="0"/>
          <w:lang w:bidi="ar"/>
        </w:rPr>
        <w:t>料过于丰富，导致幼儿在选择时无所适从，而有的则材料匮乏，限制了幼儿的建构活动。这些问题不仅影响了建构游戏的教育效果，也阻碍了幼儿在游戏中的全面发展。</w:t>
      </w:r>
    </w:p>
    <w:p w14:paraId="2FCF3BBC" w14:textId="77777777" w:rsidR="00DC45C4" w:rsidRDefault="00000000" w:rsidP="00D5476B">
      <w:pPr>
        <w:pStyle w:val="a8"/>
        <w:autoSpaceDE w:val="0"/>
        <w:autoSpaceDN w:val="0"/>
        <w:spacing w:line="360" w:lineRule="exact"/>
        <w:ind w:firstLineChars="200" w:firstLine="460"/>
        <w:jc w:val="both"/>
        <w:rPr>
          <w:rFonts w:ascii="宋体" w:hAnsi="宋体" w:hint="eastAsia"/>
          <w:spacing w:val="-5"/>
          <w:kern w:val="0"/>
          <w:lang w:bidi="ar"/>
        </w:rPr>
      </w:pPr>
      <w:r>
        <w:rPr>
          <w:rFonts w:ascii="宋体" w:hAnsi="宋体" w:hint="eastAsia"/>
          <w:spacing w:val="-5"/>
          <w:kern w:val="0"/>
          <w:lang w:bidi="ar"/>
        </w:rPr>
        <w:t>因此，针对当前幼儿园</w:t>
      </w:r>
      <w:proofErr w:type="gramStart"/>
      <w:r>
        <w:rPr>
          <w:rFonts w:ascii="宋体" w:hAnsi="宋体" w:hint="eastAsia"/>
          <w:spacing w:val="-5"/>
          <w:kern w:val="0"/>
          <w:lang w:bidi="ar"/>
        </w:rPr>
        <w:t>建构区材料</w:t>
      </w:r>
      <w:proofErr w:type="gramEnd"/>
      <w:r>
        <w:rPr>
          <w:rFonts w:ascii="宋体" w:hAnsi="宋体" w:hint="eastAsia"/>
          <w:spacing w:val="-5"/>
          <w:kern w:val="0"/>
          <w:lang w:bidi="ar"/>
        </w:rPr>
        <w:t>投放存在的问题，开展本课题的研究，探讨科学合理的建构材料投放策略，具有重要的现实意义。它不仅能够为幼儿园教育工作者提供实践指导，还能为学前教育领域的研究提供新的思路和方法。</w:t>
      </w:r>
    </w:p>
    <w:p w14:paraId="1B10A92F" w14:textId="77777777" w:rsidR="00DC45C4" w:rsidRDefault="00000000" w:rsidP="00D5476B">
      <w:pPr>
        <w:pStyle w:val="2"/>
        <w:widowControl/>
        <w:spacing w:beforeLines="50" w:before="156" w:afterLines="50" w:after="156" w:line="360" w:lineRule="exact"/>
        <w:ind w:right="0" w:firstLine="0"/>
        <w:jc w:val="left"/>
        <w:rPr>
          <w:rFonts w:ascii="黑体" w:eastAsia="黑体"/>
          <w:sz w:val="28"/>
          <w:szCs w:val="28"/>
        </w:rPr>
      </w:pPr>
      <w:bookmarkStart w:id="4" w:name="_bookmark3"/>
      <w:bookmarkEnd w:id="4"/>
      <w:r>
        <w:rPr>
          <w:rFonts w:ascii="黑体" w:eastAsia="黑体"/>
          <w:sz w:val="28"/>
          <w:szCs w:val="28"/>
        </w:rPr>
        <w:t>1.2研究意义</w:t>
      </w:r>
    </w:p>
    <w:p w14:paraId="69374078" w14:textId="77777777" w:rsidR="00DC45C4" w:rsidRDefault="00000000" w:rsidP="00D5476B">
      <w:pPr>
        <w:pStyle w:val="a8"/>
        <w:autoSpaceDE w:val="0"/>
        <w:autoSpaceDN w:val="0"/>
        <w:spacing w:beforeLines="50" w:before="156" w:afterLines="50" w:after="156" w:line="360" w:lineRule="exact"/>
        <w:ind w:firstLineChars="200" w:firstLine="456"/>
        <w:jc w:val="both"/>
        <w:rPr>
          <w:rFonts w:ascii="宋体" w:hAnsi="宋体" w:hint="eastAsia"/>
          <w:spacing w:val="-6"/>
          <w:kern w:val="0"/>
          <w:lang w:val="zh-CN" w:bidi="zh-CN"/>
        </w:rPr>
      </w:pPr>
      <w:r>
        <w:rPr>
          <w:rFonts w:ascii="宋体" w:hAnsi="宋体" w:hint="eastAsia"/>
          <w:spacing w:val="-6"/>
          <w:kern w:val="0"/>
          <w:lang w:val="zh-CN" w:bidi="zh-CN"/>
        </w:rPr>
        <w:lastRenderedPageBreak/>
        <w:t>理论意义</w:t>
      </w:r>
    </w:p>
    <w:p w14:paraId="07B137FA" w14:textId="77777777" w:rsidR="00DC45C4" w:rsidRDefault="00000000" w:rsidP="00D5476B">
      <w:pPr>
        <w:pStyle w:val="a8"/>
        <w:autoSpaceDE w:val="0"/>
        <w:autoSpaceDN w:val="0"/>
        <w:spacing w:beforeLines="50" w:before="156" w:afterLines="50" w:after="156" w:line="360" w:lineRule="exact"/>
        <w:ind w:firstLineChars="200" w:firstLine="456"/>
        <w:jc w:val="both"/>
        <w:rPr>
          <w:rFonts w:ascii="宋体" w:hAnsi="宋体" w:hint="eastAsia"/>
          <w:spacing w:val="-6"/>
          <w:kern w:val="0"/>
          <w:lang w:val="zh-CN" w:bidi="zh-CN"/>
        </w:rPr>
      </w:pPr>
      <w:r>
        <w:rPr>
          <w:rFonts w:ascii="宋体" w:hAnsi="宋体" w:hint="eastAsia"/>
          <w:spacing w:val="-6"/>
          <w:kern w:val="0"/>
          <w:lang w:val="zh-CN" w:bidi="zh-CN"/>
        </w:rPr>
        <w:t>通过本课题的研究，丰富学前教育领域关于建构游戏的理论研究，为</w:t>
      </w:r>
      <w:proofErr w:type="gramStart"/>
      <w:r>
        <w:rPr>
          <w:rFonts w:ascii="宋体" w:hAnsi="宋体" w:hint="eastAsia"/>
          <w:spacing w:val="-6"/>
          <w:kern w:val="0"/>
          <w:lang w:val="zh-CN" w:bidi="zh-CN"/>
        </w:rPr>
        <w:t>建构区材料</w:t>
      </w:r>
      <w:proofErr w:type="gramEnd"/>
      <w:r>
        <w:rPr>
          <w:rFonts w:ascii="宋体" w:hAnsi="宋体" w:hint="eastAsia"/>
          <w:spacing w:val="-6"/>
          <w:kern w:val="0"/>
          <w:lang w:val="zh-CN" w:bidi="zh-CN"/>
        </w:rPr>
        <w:t>投放提供系统的理论支持。同时，为学前教育研究提供新的视角，推动学前教育理论的发展。</w:t>
      </w:r>
    </w:p>
    <w:p w14:paraId="34BD3961" w14:textId="77777777" w:rsidR="00DC45C4" w:rsidRDefault="00000000" w:rsidP="00D5476B">
      <w:pPr>
        <w:pStyle w:val="a8"/>
        <w:autoSpaceDE w:val="0"/>
        <w:autoSpaceDN w:val="0"/>
        <w:spacing w:beforeLines="50" w:before="156" w:afterLines="50" w:after="156" w:line="360" w:lineRule="exact"/>
        <w:ind w:firstLineChars="200" w:firstLine="456"/>
        <w:jc w:val="both"/>
        <w:rPr>
          <w:rFonts w:ascii="宋体" w:hAnsi="宋体" w:hint="eastAsia"/>
          <w:spacing w:val="-6"/>
          <w:kern w:val="0"/>
          <w:lang w:val="zh-CN" w:bidi="zh-CN"/>
        </w:rPr>
      </w:pPr>
      <w:r>
        <w:rPr>
          <w:rFonts w:ascii="宋体" w:hAnsi="宋体" w:hint="eastAsia"/>
          <w:spacing w:val="-6"/>
          <w:kern w:val="0"/>
          <w:lang w:val="zh-CN" w:bidi="zh-CN"/>
        </w:rPr>
        <w:t>实践意义</w:t>
      </w:r>
    </w:p>
    <w:p w14:paraId="5A4F039F" w14:textId="77777777" w:rsidR="00DC45C4" w:rsidRDefault="00000000" w:rsidP="00D5476B">
      <w:pPr>
        <w:pStyle w:val="a8"/>
        <w:autoSpaceDE w:val="0"/>
        <w:autoSpaceDN w:val="0"/>
        <w:spacing w:beforeLines="50" w:before="156" w:afterLines="50" w:after="156" w:line="360" w:lineRule="exact"/>
        <w:ind w:firstLineChars="200" w:firstLine="456"/>
        <w:jc w:val="both"/>
        <w:rPr>
          <w:rFonts w:ascii="宋体" w:hAnsi="宋体" w:hint="eastAsia"/>
          <w:spacing w:val="-6"/>
          <w:kern w:val="0"/>
          <w:lang w:val="zh-CN" w:bidi="zh-CN"/>
        </w:rPr>
      </w:pPr>
      <w:r>
        <w:rPr>
          <w:rFonts w:ascii="宋体" w:hAnsi="宋体" w:hint="eastAsia"/>
          <w:spacing w:val="-6"/>
          <w:kern w:val="0"/>
          <w:lang w:val="zh-CN" w:bidi="zh-CN"/>
        </w:rPr>
        <w:t>通过优化建构材料的投放策略，能够更好地满足幼儿的建构需求，促进幼儿的全面发展。同时，通过提升教师的材料投放和指导能力，增强教师的专业素养，提升幼儿园整体教育质量。</w:t>
      </w:r>
    </w:p>
    <w:p w14:paraId="244ACC3F" w14:textId="77777777" w:rsidR="00DC45C4" w:rsidRDefault="00DC45C4" w:rsidP="00D5476B">
      <w:pPr>
        <w:spacing w:beforeLines="50" w:before="156" w:afterLines="50" w:after="156" w:line="360" w:lineRule="exact"/>
        <w:ind w:firstLineChars="200" w:firstLine="456"/>
        <w:jc w:val="both"/>
        <w:rPr>
          <w:rFonts w:ascii="宋体" w:hAnsi="宋体" w:hint="eastAsia"/>
          <w:spacing w:val="-6"/>
          <w:kern w:val="0"/>
          <w:sz w:val="24"/>
          <w:lang w:val="zh-CN" w:bidi="zh-CN"/>
        </w:rPr>
      </w:pPr>
    </w:p>
    <w:p w14:paraId="648A4C6D" w14:textId="77777777" w:rsidR="00DC45C4" w:rsidRDefault="00DC45C4" w:rsidP="00D5476B">
      <w:pPr>
        <w:spacing w:line="360" w:lineRule="exact"/>
        <w:ind w:firstLineChars="200" w:firstLine="456"/>
        <w:jc w:val="both"/>
        <w:rPr>
          <w:rFonts w:ascii="宋体" w:hAnsi="宋体" w:hint="eastAsia"/>
          <w:spacing w:val="-6"/>
          <w:kern w:val="0"/>
          <w:sz w:val="24"/>
          <w:lang w:val="zh-CN" w:bidi="zh-CN"/>
        </w:rPr>
      </w:pPr>
    </w:p>
    <w:p w14:paraId="28A2CCA3"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0891574B"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4ACE9610"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725FB807"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5D23EB0A"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45FCBA45"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0B82C887"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3353A641"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2B1DE2D5"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3493C957"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249FDEC8"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24325FC5"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3B90DC7D"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3F676BAC"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7D9A6B2A"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280E279D" w14:textId="77777777" w:rsidR="00DC45C4" w:rsidRDefault="00DC45C4">
      <w:pPr>
        <w:spacing w:before="156" w:after="156" w:line="360" w:lineRule="exact"/>
        <w:ind w:firstLineChars="200" w:firstLine="456"/>
        <w:jc w:val="both"/>
        <w:rPr>
          <w:rFonts w:ascii="宋体" w:hAnsi="宋体" w:hint="eastAsia"/>
          <w:spacing w:val="-6"/>
          <w:kern w:val="0"/>
          <w:sz w:val="24"/>
          <w:lang w:val="zh-CN" w:bidi="zh-CN"/>
        </w:rPr>
      </w:pPr>
    </w:p>
    <w:p w14:paraId="42128787" w14:textId="77777777" w:rsidR="00DC45C4" w:rsidRDefault="00000000" w:rsidP="00AE7C9B">
      <w:pPr>
        <w:pStyle w:val="1"/>
        <w:widowControl/>
        <w:shd w:val="clear" w:color="auto" w:fill="FFFFFF"/>
        <w:spacing w:beforeLines="50" w:before="156" w:afterLines="50" w:after="156" w:line="360" w:lineRule="exact"/>
        <w:ind w:right="0" w:firstLine="0"/>
        <w:rPr>
          <w:rFonts w:ascii="黑体" w:eastAsia="黑体" w:hAnsi="黑体"/>
          <w:color w:val="000000"/>
          <w:sz w:val="30"/>
          <w:szCs w:val="30"/>
          <w:shd w:val="clear" w:color="auto" w:fill="FFFFFF"/>
        </w:rPr>
      </w:pPr>
      <w:r>
        <w:br w:type="page"/>
      </w:r>
      <w:r>
        <w:rPr>
          <w:rFonts w:ascii="黑体" w:eastAsia="黑体" w:hAnsi="黑体"/>
          <w:color w:val="000000"/>
          <w:sz w:val="30"/>
          <w:szCs w:val="30"/>
          <w:shd w:val="clear" w:color="auto" w:fill="FFFFFF"/>
        </w:rPr>
        <w:lastRenderedPageBreak/>
        <w:t>第二章  建构游戏材料投放的现状与问题</w:t>
      </w:r>
    </w:p>
    <w:p w14:paraId="5BE6298C" w14:textId="77777777" w:rsidR="00DC45C4" w:rsidRDefault="00DC45C4">
      <w:pPr>
        <w:spacing w:before="156" w:after="156" w:line="360" w:lineRule="exact"/>
      </w:pPr>
    </w:p>
    <w:p w14:paraId="27D4C218"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在幼儿园教育体系里，建构游戏对于幼儿的成长意义重大，它能锻炼幼儿动手、空间感知、创新思维等多种能力，还能强化幼儿的团队协作与社交能力。而建构游戏能否高效开展，游戏材料的投放起着关键作用。对其现状与问题展开深入剖析，对提升幼儿园教育质量至关重要。</w:t>
      </w:r>
    </w:p>
    <w:p w14:paraId="2826CB37" w14:textId="77777777" w:rsidR="00DC45C4" w:rsidRDefault="00000000" w:rsidP="00D5476B">
      <w:pPr>
        <w:pStyle w:val="2"/>
        <w:widowControl/>
        <w:spacing w:beforeLines="50" w:before="156" w:afterLines="50" w:after="156" w:line="360" w:lineRule="exact"/>
        <w:ind w:right="0" w:firstLine="0"/>
        <w:jc w:val="left"/>
        <w:rPr>
          <w:rFonts w:ascii="黑体" w:eastAsia="黑体" w:hAnsi="黑体"/>
          <w:color w:val="000000"/>
          <w:sz w:val="28"/>
          <w:szCs w:val="28"/>
          <w:shd w:val="clear" w:color="auto" w:fill="FFFFFF"/>
        </w:rPr>
      </w:pPr>
      <w:r>
        <w:rPr>
          <w:rFonts w:ascii="黑体" w:eastAsia="黑体" w:hAnsi="黑体"/>
          <w:color w:val="000000"/>
          <w:sz w:val="28"/>
          <w:szCs w:val="28"/>
          <w:shd w:val="clear" w:color="auto" w:fill="FFFFFF"/>
        </w:rPr>
        <w:t>2.1幼儿园教师的基本信息及影响分析</w:t>
      </w:r>
    </w:p>
    <w:p w14:paraId="734ED52B"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本研究选取多家幼儿园教师作为研究对象，借助问卷调查、访谈等手段，全面收集了教师年龄、学历、教龄等关键信息，这些信息有助于了解教师在建构游戏材料投放中的表现与局限。</w:t>
      </w:r>
    </w:p>
    <w:p w14:paraId="3254CACF"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从年龄结构来看，幼儿园教师队伍涵盖了经验丰富的中老年教师和充满活力的青年教师，年龄分布较为合理。中老年教师凭借多年教学经验，对幼儿认知发展有着深刻理解；青年教师则更易接纳新观念，能灵活运用现代教育理念。学历方面，大部分教师拥有大专及以上学历，部分还达到本科及以上，整体素质较高，具备良好的专业知识和技能。但仍有少数教师学历较低，这可能在一定程度上影响他们在教学活动中的创新能力和专业素养。教龄分布上，教师队伍从</w:t>
      </w:r>
      <w:proofErr w:type="gramStart"/>
      <w:r>
        <w:rPr>
          <w:rFonts w:ascii="宋体" w:hAnsi="宋体" w:hint="eastAsia"/>
          <w:kern w:val="0"/>
          <w:shd w:val="clear" w:color="auto" w:fill="FFFFFF"/>
          <w:lang w:bidi="ar"/>
        </w:rPr>
        <w:t>初入职场的</w:t>
      </w:r>
      <w:proofErr w:type="gramEnd"/>
      <w:r>
        <w:rPr>
          <w:rFonts w:ascii="宋体" w:hAnsi="宋体" w:hint="eastAsia"/>
          <w:kern w:val="0"/>
          <w:shd w:val="clear" w:color="auto" w:fill="FFFFFF"/>
          <w:lang w:bidi="ar"/>
        </w:rPr>
        <w:t>新手到拥有数十年教龄的老教师都有。新手教师充满激情和创造力，老教师能精准把握幼儿需求和兴趣点。然而，部分长期在固定环境工作的教师出现职业倦怠现象，对建构游戏等创新教学方法缺乏热情和探索精神。</w:t>
      </w:r>
    </w:p>
    <w:p w14:paraId="79F52829"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整体而言，尽管幼儿园教师队伍整体素质不错，但部分教师在建构游戏相关知识和经验上存在欠缺。在建构游戏材料的选择、投放方式以及游戏过程中的指导策略等方面，这些教师表现欠佳。他们对建构游戏对幼儿发展的重要性认识不足，导致在投放游戏材料时缺乏科学性和针对性。</w:t>
      </w:r>
    </w:p>
    <w:p w14:paraId="4D12993E" w14:textId="77777777" w:rsidR="00DC45C4" w:rsidRDefault="00000000" w:rsidP="00D5476B">
      <w:pPr>
        <w:pStyle w:val="2"/>
        <w:widowControl/>
        <w:spacing w:beforeLines="50" w:before="156" w:afterLines="50" w:after="156" w:line="360" w:lineRule="exact"/>
        <w:ind w:right="0" w:firstLine="0"/>
        <w:jc w:val="left"/>
        <w:rPr>
          <w:rFonts w:ascii="黑体" w:eastAsia="黑体" w:hAnsi="黑体"/>
          <w:color w:val="000000"/>
          <w:sz w:val="28"/>
          <w:szCs w:val="28"/>
          <w:shd w:val="clear" w:color="auto" w:fill="FFFFFF"/>
        </w:rPr>
      </w:pPr>
      <w:r>
        <w:rPr>
          <w:rFonts w:ascii="黑体" w:eastAsia="黑体" w:hAnsi="黑体"/>
          <w:color w:val="000000"/>
          <w:sz w:val="28"/>
          <w:szCs w:val="28"/>
          <w:shd w:val="clear" w:color="auto" w:fill="FFFFFF"/>
        </w:rPr>
        <w:t>2.2幼儿建构游戏材料投放现状与问题</w:t>
      </w:r>
    </w:p>
    <w:p w14:paraId="5D8DAC2C" w14:textId="77777777" w:rsidR="00DC45C4" w:rsidRDefault="00000000" w:rsidP="00D5476B">
      <w:pPr>
        <w:pStyle w:val="2"/>
        <w:widowControl/>
        <w:spacing w:beforeLines="50" w:before="156" w:afterLines="50" w:after="156" w:line="360" w:lineRule="exact"/>
        <w:ind w:right="0" w:firstLine="0"/>
        <w:jc w:val="left"/>
        <w:rPr>
          <w:rFonts w:ascii="黑体" w:eastAsia="黑体" w:hAnsi="黑体"/>
          <w:color w:val="000000"/>
          <w:sz w:val="28"/>
          <w:szCs w:val="28"/>
          <w:shd w:val="clear" w:color="auto" w:fill="FFFFFF"/>
        </w:rPr>
      </w:pPr>
      <w:r>
        <w:rPr>
          <w:rFonts w:ascii="黑体" w:eastAsia="黑体" w:hAnsi="黑体"/>
          <w:color w:val="000000"/>
          <w:sz w:val="28"/>
          <w:szCs w:val="28"/>
          <w:shd w:val="clear" w:color="auto" w:fill="FFFFFF"/>
        </w:rPr>
        <w:t>2.2.1材料类型</w:t>
      </w:r>
    </w:p>
    <w:p w14:paraId="1F130D38"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目前，幼儿园建构游戏材料来源主要有两种。一方面，大多数幼儿园选择自行购买材料，这样能保证材料的质量和安全性。这些材料多来自知名品牌，经过严格质量检测，符合幼儿使用标准。幼儿园采购时，还会综合考虑材料的多样性、可塑性和耐用性，以满足不同年龄段和兴趣偏好的幼儿需求。另一方面，部分材料由家长和幼儿自带，这种方式虽能丰富材料种类，但也存在诸多问题。一些家长缺乏专业选购知识，带来的材料质量参差不齐，甚至有安全隐患；还有些家长过于注重材料外观和价格，忽视其教育价值和适用性，导致材料与游戏主题不匹配或难以融入游戏情境。同时，自</w:t>
      </w:r>
      <w:proofErr w:type="gramStart"/>
      <w:r>
        <w:rPr>
          <w:rFonts w:ascii="宋体" w:hAnsi="宋体" w:hint="eastAsia"/>
          <w:kern w:val="0"/>
          <w:shd w:val="clear" w:color="auto" w:fill="FFFFFF"/>
          <w:lang w:bidi="ar"/>
        </w:rPr>
        <w:t>带材料</w:t>
      </w:r>
      <w:proofErr w:type="gramEnd"/>
      <w:r>
        <w:rPr>
          <w:rFonts w:ascii="宋体" w:hAnsi="宋体" w:hint="eastAsia"/>
          <w:kern w:val="0"/>
          <w:shd w:val="clear" w:color="auto" w:fill="FFFFFF"/>
          <w:lang w:bidi="ar"/>
        </w:rPr>
        <w:t>可能引发幼儿之间的攀比心理，影响游戏公平性。</w:t>
      </w:r>
    </w:p>
    <w:p w14:paraId="38EEF323" w14:textId="77777777" w:rsidR="00DC45C4" w:rsidRDefault="00000000" w:rsidP="00D5476B">
      <w:pPr>
        <w:pStyle w:val="2"/>
        <w:widowControl/>
        <w:spacing w:beforeLines="50" w:before="156" w:afterLines="50" w:after="156" w:line="360" w:lineRule="exact"/>
        <w:ind w:right="0" w:firstLine="0"/>
        <w:jc w:val="left"/>
        <w:rPr>
          <w:rFonts w:ascii="黑体" w:eastAsia="黑体" w:hAnsi="黑体"/>
          <w:color w:val="000000"/>
          <w:sz w:val="28"/>
          <w:szCs w:val="28"/>
          <w:shd w:val="clear" w:color="auto" w:fill="FFFFFF"/>
        </w:rPr>
      </w:pPr>
      <w:r>
        <w:rPr>
          <w:rFonts w:ascii="黑体" w:eastAsia="黑体" w:hAnsi="黑体"/>
          <w:color w:val="000000"/>
          <w:sz w:val="28"/>
          <w:szCs w:val="28"/>
          <w:shd w:val="clear" w:color="auto" w:fill="FFFFFF"/>
        </w:rPr>
        <w:lastRenderedPageBreak/>
        <w:t>2.2.2 投放方式</w:t>
      </w:r>
    </w:p>
    <w:p w14:paraId="41F25EBB"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在建构游戏材料数量分配上，多数幼儿园会依据班级人数和</w:t>
      </w:r>
      <w:proofErr w:type="gramStart"/>
      <w:r>
        <w:rPr>
          <w:rFonts w:ascii="宋体" w:hAnsi="宋体" w:hint="eastAsia"/>
          <w:kern w:val="0"/>
          <w:shd w:val="clear" w:color="auto" w:fill="FFFFFF"/>
          <w:lang w:bidi="ar"/>
        </w:rPr>
        <w:t>建构区</w:t>
      </w:r>
      <w:proofErr w:type="gramEnd"/>
      <w:r>
        <w:rPr>
          <w:rFonts w:ascii="宋体" w:hAnsi="宋体" w:hint="eastAsia"/>
          <w:kern w:val="0"/>
          <w:shd w:val="clear" w:color="auto" w:fill="FFFFFF"/>
          <w:lang w:bidi="ar"/>
        </w:rPr>
        <w:t>面积进行合理规划，既保障每位幼儿有足够材料操作，又避免材料过多造成混乱和浪费。不过，仍有部分幼儿园存在材料分配不均的情况。一些班级因人数多、</w:t>
      </w:r>
      <w:proofErr w:type="gramStart"/>
      <w:r>
        <w:rPr>
          <w:rFonts w:ascii="宋体" w:hAnsi="宋体" w:hint="eastAsia"/>
          <w:kern w:val="0"/>
          <w:shd w:val="clear" w:color="auto" w:fill="FFFFFF"/>
          <w:lang w:bidi="ar"/>
        </w:rPr>
        <w:t>建构区</w:t>
      </w:r>
      <w:proofErr w:type="gramEnd"/>
      <w:r>
        <w:rPr>
          <w:rFonts w:ascii="宋体" w:hAnsi="宋体" w:hint="eastAsia"/>
          <w:kern w:val="0"/>
          <w:shd w:val="clear" w:color="auto" w:fill="FFFFFF"/>
          <w:lang w:bidi="ar"/>
        </w:rPr>
        <w:t>面积小，材料供应紧张；而另一些班级则材料过剩，未能充分利用。</w:t>
      </w:r>
    </w:p>
    <w:p w14:paraId="0A28FDAF"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在材料投放方式上，幼儿园采用了主题式投放、开放式投放等多种方式。主题式投放围绕特定主题或情境投放材料，能激发幼儿兴趣和创造力，帮助幼儿理解和认知主题内容；开放式投放</w:t>
      </w:r>
      <w:proofErr w:type="gramStart"/>
      <w:r>
        <w:rPr>
          <w:rFonts w:ascii="宋体" w:hAnsi="宋体" w:hint="eastAsia"/>
          <w:kern w:val="0"/>
          <w:shd w:val="clear" w:color="auto" w:fill="FFFFFF"/>
          <w:lang w:bidi="ar"/>
        </w:rPr>
        <w:t>不</w:t>
      </w:r>
      <w:proofErr w:type="gramEnd"/>
      <w:r>
        <w:rPr>
          <w:rFonts w:ascii="宋体" w:hAnsi="宋体" w:hint="eastAsia"/>
          <w:kern w:val="0"/>
          <w:shd w:val="clear" w:color="auto" w:fill="FFFFFF"/>
          <w:lang w:bidi="ar"/>
        </w:rPr>
        <w:t>设定具体主题或目标，给予幼儿更大的自由选择和探索空间，培养幼儿的自主性和创新能力。但部分教师在投放材料时缺乏针对性和层次性，只是简单堆放材料，未根据幼儿兴趣、能力和发展水平精心设计安排，使得幼儿在游戏中缺乏挑战性和趣味性，难以达到预期教育效果。此外，部分教师忽视材料的更新和替换，导致游戏材料长期不变，缺乏新鲜感和吸引力。</w:t>
      </w:r>
    </w:p>
    <w:p w14:paraId="6198DC91" w14:textId="77777777" w:rsidR="00DC45C4" w:rsidRDefault="00000000" w:rsidP="00D5476B">
      <w:pPr>
        <w:pStyle w:val="2"/>
        <w:widowControl/>
        <w:spacing w:beforeLines="50" w:before="156" w:afterLines="50" w:after="156" w:line="360" w:lineRule="exact"/>
        <w:ind w:right="0" w:firstLine="0"/>
        <w:jc w:val="left"/>
        <w:rPr>
          <w:rFonts w:ascii="黑体" w:eastAsia="黑体" w:hAnsi="黑体"/>
          <w:color w:val="000000"/>
          <w:sz w:val="28"/>
          <w:szCs w:val="28"/>
          <w:shd w:val="clear" w:color="auto" w:fill="FFFFFF"/>
        </w:rPr>
      </w:pPr>
      <w:r>
        <w:rPr>
          <w:rFonts w:ascii="黑体" w:eastAsia="黑体" w:hAnsi="黑体"/>
          <w:color w:val="000000"/>
          <w:sz w:val="28"/>
          <w:szCs w:val="28"/>
          <w:shd w:val="clear" w:color="auto" w:fill="FFFFFF"/>
        </w:rPr>
        <w:t>2.2.3 教师指导</w:t>
      </w:r>
    </w:p>
    <w:p w14:paraId="40529725"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在建构游戏过程中，教师的指导方式对幼儿操作和游戏体验影响重大。然而，当前部分幼儿园教师的指导方式存在问题。一些教师过于注重游戏结果和幼儿成果展示，忽视游戏过程中的指导和支持，只关注幼儿最终作品是否美观、完整，忽略了幼儿在建构过程中的思考、探索和尝试，这种以结果为导向的指导方式限制了幼儿的自主性和创造性，降低了游戏的挑战性和趣味性。另一些教师缺乏专业的建构游戏知识和技能，无法有效引导幼儿探索和操作，对幼儿在游戏中的需求和困惑了解不足，难以提供有针对性的指导和建议，导致幼儿在游戏中感到迷茫和无助，无法充分发挥想象力和创造力。还有部分教师在指导时过于强调规则和纪律，对幼儿游戏行为干预过多，限制了幼儿的自主性和创造性，让幼儿在游戏中感到压抑和束缚。</w:t>
      </w:r>
    </w:p>
    <w:p w14:paraId="3B7D3292"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综上所述，幼儿园建构游戏材料投放现状呈现出多方面特点，同时也存在诸多问题，包括材料来源、投放方式以及教师指导等方面。这些问题严重影响了建构游戏的教育价值和幼儿的全面发展，亟待解决。后续章节将针对这些问题提出相应的优化建议与对策。</w:t>
      </w:r>
    </w:p>
    <w:p w14:paraId="4D09D37F" w14:textId="77777777" w:rsidR="00DC45C4" w:rsidRDefault="00000000" w:rsidP="00D5476B">
      <w:pPr>
        <w:pStyle w:val="1"/>
        <w:widowControl/>
        <w:shd w:val="clear" w:color="auto" w:fill="FFFFFF"/>
        <w:spacing w:beforeLines="50" w:before="156" w:afterLines="50" w:after="156" w:line="360" w:lineRule="exact"/>
        <w:ind w:right="0" w:firstLine="0"/>
        <w:rPr>
          <w:rFonts w:ascii="黑体" w:eastAsia="黑体" w:hAnsi="黑体"/>
          <w:color w:val="000000"/>
          <w:sz w:val="30"/>
          <w:szCs w:val="30"/>
          <w:shd w:val="clear" w:color="auto" w:fill="FFFFFF"/>
        </w:rPr>
      </w:pPr>
      <w:r>
        <w:br w:type="page"/>
      </w:r>
      <w:r>
        <w:rPr>
          <w:rFonts w:ascii="黑体" w:eastAsia="黑体" w:hAnsi="黑体"/>
          <w:color w:val="000000"/>
          <w:sz w:val="30"/>
          <w:szCs w:val="30"/>
          <w:shd w:val="clear" w:color="auto" w:fill="FFFFFF"/>
        </w:rPr>
        <w:lastRenderedPageBreak/>
        <w:t>第三章</w:t>
      </w:r>
      <w:bookmarkStart w:id="5" w:name="_Toc7489"/>
      <w:r>
        <w:rPr>
          <w:rFonts w:ascii="黑体" w:eastAsia="黑体" w:hAnsi="黑体"/>
          <w:color w:val="000000"/>
          <w:sz w:val="30"/>
          <w:szCs w:val="30"/>
          <w:shd w:val="clear" w:color="auto" w:fill="FFFFFF"/>
        </w:rPr>
        <w:t xml:space="preserve">  </w:t>
      </w:r>
      <w:bookmarkEnd w:id="5"/>
      <w:r>
        <w:rPr>
          <w:rFonts w:ascii="黑体" w:eastAsia="黑体" w:hAnsi="黑体"/>
          <w:color w:val="000000"/>
          <w:sz w:val="30"/>
          <w:szCs w:val="30"/>
          <w:shd w:val="clear" w:color="auto" w:fill="FFFFFF"/>
        </w:rPr>
        <w:t>建构游戏材料投放建议</w:t>
      </w:r>
    </w:p>
    <w:p w14:paraId="0D037B6B" w14:textId="77777777" w:rsidR="00DC45C4" w:rsidRDefault="00DC45C4">
      <w:pPr>
        <w:autoSpaceDE w:val="0"/>
        <w:autoSpaceDN w:val="0"/>
        <w:spacing w:before="156" w:after="156" w:line="360" w:lineRule="exact"/>
        <w:ind w:firstLineChars="200" w:firstLine="480"/>
        <w:jc w:val="both"/>
        <w:rPr>
          <w:rFonts w:ascii="宋体" w:hAnsi="宋体" w:hint="eastAsia"/>
          <w:kern w:val="0"/>
          <w:sz w:val="24"/>
          <w:lang w:bidi="ar"/>
        </w:rPr>
      </w:pPr>
    </w:p>
    <w:p w14:paraId="59A267E6"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针对幼儿园建构游戏材料投放存在的问题，本文提出了一系列具体的建议与对策，旨在优化建构游戏材料的提供来源、解决建构材料分配不均的问题，并提升幼儿园教师的指导能力，从而改善幼儿的操作性和游戏体验。以下是对这些建议与对策的详细阐述。</w:t>
      </w:r>
    </w:p>
    <w:p w14:paraId="4678CCF4" w14:textId="77777777" w:rsidR="00DC45C4" w:rsidRDefault="00000000" w:rsidP="00D5476B">
      <w:pPr>
        <w:pStyle w:val="2"/>
        <w:widowControl/>
        <w:spacing w:beforeLines="50" w:before="156" w:afterLines="50" w:after="156" w:line="360" w:lineRule="exact"/>
        <w:ind w:right="0" w:firstLine="0"/>
        <w:jc w:val="left"/>
        <w:rPr>
          <w:rFonts w:ascii="黑体" w:eastAsia="黑体"/>
          <w:sz w:val="28"/>
          <w:szCs w:val="28"/>
          <w:lang w:bidi="ar"/>
        </w:rPr>
      </w:pPr>
      <w:bookmarkStart w:id="6" w:name="_Toc7039"/>
      <w:r>
        <w:rPr>
          <w:rFonts w:ascii="黑体" w:eastAsia="黑体"/>
          <w:sz w:val="28"/>
          <w:szCs w:val="28"/>
          <w:lang w:bidi="ar"/>
        </w:rPr>
        <w:t>3.1 优化建构材料提供来源</w:t>
      </w:r>
      <w:bookmarkEnd w:id="6"/>
    </w:p>
    <w:p w14:paraId="235B83C9"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为了丰富建构游戏材料的种类和来源，提升幼儿的建构兴趣和创造力，幼儿园可以采取以下措施：</w:t>
      </w:r>
    </w:p>
    <w:p w14:paraId="08DB7304"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建立材料资源库：幼儿园应着手建立自己的建构游戏材料资源库。这一</w:t>
      </w:r>
      <w:proofErr w:type="gramStart"/>
      <w:r>
        <w:rPr>
          <w:rFonts w:ascii="宋体" w:hAnsi="宋体" w:hint="eastAsia"/>
          <w:kern w:val="0"/>
          <w:lang w:bidi="ar"/>
        </w:rPr>
        <w:t>资源库应涵盖</w:t>
      </w:r>
      <w:proofErr w:type="gramEnd"/>
      <w:r>
        <w:rPr>
          <w:rFonts w:ascii="宋体" w:hAnsi="宋体" w:hint="eastAsia"/>
          <w:kern w:val="0"/>
          <w:lang w:bidi="ar"/>
        </w:rPr>
        <w:t>各种类型、不同材质、不同功能的建构游戏材料，如积木、拼图、纸板、塑料管道等。这些材料应能够满足不同年龄段、不同兴趣偏好的幼儿需求。</w:t>
      </w:r>
      <w:proofErr w:type="gramStart"/>
      <w:r>
        <w:rPr>
          <w:rFonts w:ascii="宋体" w:hAnsi="宋体" w:hint="eastAsia"/>
          <w:kern w:val="0"/>
          <w:lang w:bidi="ar"/>
        </w:rPr>
        <w:t>资源库应由</w:t>
      </w:r>
      <w:proofErr w:type="gramEnd"/>
      <w:r>
        <w:rPr>
          <w:rFonts w:ascii="宋体" w:hAnsi="宋体" w:hint="eastAsia"/>
          <w:kern w:val="0"/>
          <w:lang w:bidi="ar"/>
        </w:rPr>
        <w:t>专人负责管理和维护，确保材料的更新和替换，以保持其多样性和新颖性。同时，幼儿园可以鼓励教师根据游戏主题和幼儿需求，从资源库中挑选合适的材料进行投放。</w:t>
      </w:r>
    </w:p>
    <w:p w14:paraId="65D80E62"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鼓励家长和幼儿参与：幼儿园应积极鼓励家长和幼儿参与到建构游戏材料的收集和制作中来。通过组织亲子活动、工作坊等形式，让家长和幼儿共同参与到材料的收集、清洗、分类和制作过程中。这不仅能够增强家长和幼儿的参与感和归属感，还能让他们更加了解建构游戏的重要性和乐趣。同时，家长和幼儿带来的材料往往具有独特的创意和实用性，能够丰富建构游戏材料的来源和种类。</w:t>
      </w:r>
    </w:p>
    <w:p w14:paraId="2CACACB4"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利用社区资源：幼儿园可以与周边的社区、企业等建立合作关系，利用社区资源中的建构游戏材料。例如，可以与建筑工地合作，收集废旧木材、砖块等材料进行改造和再利用；或者与环保组织合作，利用废旧物品制作环保建构材料。这些材料不仅具有实用性，还能激发幼儿的环保意识和创造力。</w:t>
      </w:r>
    </w:p>
    <w:p w14:paraId="776A4CD4" w14:textId="77777777" w:rsidR="00DC45C4" w:rsidRDefault="00000000" w:rsidP="00D5476B">
      <w:pPr>
        <w:pStyle w:val="2"/>
        <w:widowControl/>
        <w:spacing w:beforeLines="50" w:before="156" w:afterLines="50" w:after="156" w:line="360" w:lineRule="exact"/>
        <w:ind w:right="0" w:firstLine="0"/>
        <w:jc w:val="left"/>
        <w:rPr>
          <w:rFonts w:ascii="黑体" w:eastAsia="黑体"/>
          <w:sz w:val="28"/>
          <w:szCs w:val="28"/>
          <w:lang w:bidi="ar"/>
        </w:rPr>
      </w:pPr>
      <w:bookmarkStart w:id="7" w:name="_Toc27167"/>
      <w:r>
        <w:rPr>
          <w:rFonts w:ascii="黑体" w:eastAsia="黑体"/>
          <w:sz w:val="28"/>
          <w:szCs w:val="28"/>
          <w:lang w:bidi="ar"/>
        </w:rPr>
        <w:t>3.2 明确建构材料分配问题</w:t>
      </w:r>
      <w:bookmarkEnd w:id="7"/>
    </w:p>
    <w:p w14:paraId="4412603E"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为了解决建构游戏材料分配不均的问题，确保每个幼儿都能获得足够的材料进行操作，幼儿园可以采取以下措施：</w:t>
      </w:r>
    </w:p>
    <w:p w14:paraId="100314DA"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制定合理的分配方案：幼儿园应根据班级人数、</w:t>
      </w:r>
      <w:proofErr w:type="gramStart"/>
      <w:r>
        <w:rPr>
          <w:rFonts w:ascii="宋体" w:hAnsi="宋体" w:hint="eastAsia"/>
          <w:kern w:val="0"/>
          <w:lang w:bidi="ar"/>
        </w:rPr>
        <w:t>建构区</w:t>
      </w:r>
      <w:proofErr w:type="gramEnd"/>
      <w:r>
        <w:rPr>
          <w:rFonts w:ascii="宋体" w:hAnsi="宋体" w:hint="eastAsia"/>
          <w:kern w:val="0"/>
          <w:lang w:bidi="ar"/>
        </w:rPr>
        <w:t>面积以及幼儿的发展需求等因素，制定合理的建构游戏材料分配方案。这一方案应确保每个幼儿都能获得足够且适合的材料进行操作，避免材料分配不均导致的幼儿争抢和挫败感。同时，分配方案应根据实际情况进行动态调整，以适应不同班级和幼儿的需求变化。</w:t>
      </w:r>
    </w:p>
    <w:p w14:paraId="61439901"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lastRenderedPageBreak/>
        <w:t>加强材料管理：幼儿园应加强对建构游戏材料的管理和维护。这包括定期检查材料的数量和质量，及时补充和更换损坏或不足的材料；对材料进行分类和标识，以便教师和幼儿快速找到所需材料；以及建立材料使用记录，以便对材料的使用情况进行跟踪和评估。这些措施能够确保材料的充足性和安全性，提高材料的利用率和幼儿的互动性。</w:t>
      </w:r>
    </w:p>
    <w:p w14:paraId="7951A2D6"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建立共享机制：幼儿园可以建立建构游戏材料的共享机制。这一机制鼓励不同班级之间的幼儿进行交流和分享，提高他们的互动性和合作能力。例如，可以定期举办建构游戏材料交换活动，让幼儿将自己不常用的材料与同伴进行交换；或者建立建构游戏材料图书馆，让幼儿可以借阅其他班级的材料进行建构。这些措施能够丰富幼儿的建构经验，提高他们的创造力和解决问题的能力。</w:t>
      </w:r>
    </w:p>
    <w:p w14:paraId="4BE0E606" w14:textId="77777777" w:rsidR="00DC45C4" w:rsidRDefault="00000000" w:rsidP="00D5476B">
      <w:pPr>
        <w:pStyle w:val="2"/>
        <w:widowControl/>
        <w:spacing w:beforeLines="50" w:before="156" w:afterLines="50" w:after="156" w:line="360" w:lineRule="exact"/>
        <w:ind w:right="0" w:firstLine="0"/>
        <w:jc w:val="left"/>
        <w:rPr>
          <w:rFonts w:ascii="黑体" w:eastAsia="黑体"/>
          <w:sz w:val="28"/>
          <w:szCs w:val="28"/>
          <w:lang w:bidi="ar"/>
        </w:rPr>
      </w:pPr>
      <w:bookmarkStart w:id="8" w:name="_Toc5405"/>
      <w:r>
        <w:rPr>
          <w:rFonts w:ascii="黑体" w:eastAsia="黑体"/>
          <w:sz w:val="28"/>
          <w:szCs w:val="28"/>
          <w:lang w:bidi="ar"/>
        </w:rPr>
        <w:t>3.3 重视幼儿园教师指导方式问题</w:t>
      </w:r>
      <w:bookmarkEnd w:id="8"/>
    </w:p>
    <w:p w14:paraId="0DE55ECE"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为了提高教师的指导能力，改善幼儿的操作性，幼儿园可以采取以下措施：</w:t>
      </w:r>
    </w:p>
    <w:p w14:paraId="3372CA85"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加强教师培训：幼儿园应加强对教师的建构游戏知识和技能培训。通过组织专家讲座、工作坊、案例分析等形式，提高教师的专业素养和教学水平。培训内容应包括幼儿的发展特点和兴趣需求、建构游戏材料的投放和调整策略、观察、指导、记录和评价的方法等。通过培训，使教师能够更好地了解幼儿在游戏中的需求和困惑，提供有针对性的指导和支持。</w:t>
      </w:r>
    </w:p>
    <w:p w14:paraId="55D0274F"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建立指导体系：幼儿园可以建立建构游戏的指导体系。这一体系应为教师提供明确的指导方向和目标，帮助他们更好地引导幼儿进行建构游戏。例如，可以制定详细的指导计划和指导策略，明确每个阶段的游戏目标、材料投放方式、观察记录方法等。同时，指导体系还应包括对幼儿在游戏中的表现和进步的评估标准和方法，以便教师能够及时了解幼儿的发展情况，调整指导策略。</w:t>
      </w:r>
    </w:p>
    <w:p w14:paraId="2D80D71E"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鼓励教师创新：幼儿园应鼓励教师在建构游戏材料的投放和指导方式上进行创新和实践。通过组织教学观摩、经验分享等活动，让教师相互学习和借鉴优秀的做法和经验。同时，幼儿园可以建立激励机制，对在建构游戏材料投放和指导方面取得显著成果的教师进行表彰和奖励。这能够激发教师的积极性和创造力，推动建构游戏材料的投放和指导方式的不断改进和优化。</w:t>
      </w:r>
    </w:p>
    <w:p w14:paraId="42C9766F" w14:textId="77777777" w:rsidR="00DC45C4" w:rsidRDefault="00DC45C4" w:rsidP="00D5476B">
      <w:pPr>
        <w:spacing w:line="360" w:lineRule="exact"/>
        <w:ind w:firstLine="200"/>
        <w:jc w:val="both"/>
        <w:rPr>
          <w:rFonts w:ascii="宋体" w:hAnsi="宋体" w:hint="eastAsia"/>
          <w:sz w:val="24"/>
        </w:rPr>
      </w:pPr>
    </w:p>
    <w:p w14:paraId="45D166AD" w14:textId="77777777" w:rsidR="00DC45C4" w:rsidRDefault="00DC45C4" w:rsidP="00D5476B">
      <w:pPr>
        <w:spacing w:line="360" w:lineRule="exact"/>
        <w:ind w:firstLine="200"/>
        <w:jc w:val="both"/>
        <w:rPr>
          <w:rFonts w:ascii="宋体" w:hAnsi="宋体" w:hint="eastAsia"/>
          <w:sz w:val="24"/>
        </w:rPr>
      </w:pPr>
    </w:p>
    <w:p w14:paraId="0D5CD956" w14:textId="77777777" w:rsidR="00DC45C4" w:rsidRDefault="00000000" w:rsidP="00D5476B">
      <w:pPr>
        <w:pStyle w:val="1"/>
        <w:widowControl/>
        <w:shd w:val="clear" w:color="auto" w:fill="FFFFFF"/>
        <w:spacing w:beforeLines="50" w:before="156" w:afterLines="50" w:after="156" w:line="360" w:lineRule="exact"/>
        <w:ind w:right="0" w:firstLine="0"/>
        <w:rPr>
          <w:rFonts w:ascii="黑体" w:eastAsia="黑体" w:hAnsi="黑体"/>
          <w:color w:val="000000"/>
          <w:sz w:val="30"/>
          <w:szCs w:val="30"/>
          <w:shd w:val="clear" w:color="auto" w:fill="FFFFFF"/>
        </w:rPr>
      </w:pPr>
      <w:bookmarkStart w:id="9" w:name="_Toc4279"/>
      <w:r>
        <w:br w:type="page"/>
      </w:r>
      <w:r>
        <w:rPr>
          <w:rFonts w:ascii="黑体" w:eastAsia="黑体" w:hAnsi="黑体"/>
          <w:color w:val="000000"/>
          <w:sz w:val="30"/>
          <w:szCs w:val="30"/>
          <w:shd w:val="clear" w:color="auto" w:fill="FFFFFF"/>
        </w:rPr>
        <w:lastRenderedPageBreak/>
        <w:t>结  论</w:t>
      </w:r>
      <w:bookmarkEnd w:id="9"/>
    </w:p>
    <w:p w14:paraId="3E0A6D97" w14:textId="77777777" w:rsidR="00DC45C4" w:rsidRDefault="00DC45C4">
      <w:pPr>
        <w:autoSpaceDE w:val="0"/>
        <w:autoSpaceDN w:val="0"/>
        <w:spacing w:before="156" w:after="156" w:line="360" w:lineRule="exact"/>
        <w:ind w:firstLineChars="200" w:firstLine="480"/>
        <w:jc w:val="both"/>
        <w:rPr>
          <w:rFonts w:ascii="宋体" w:hAnsi="宋体" w:hint="eastAsia"/>
          <w:kern w:val="0"/>
          <w:sz w:val="24"/>
          <w:lang w:bidi="ar"/>
        </w:rPr>
      </w:pPr>
    </w:p>
    <w:p w14:paraId="311B2049" w14:textId="77777777" w:rsidR="00DC45C4" w:rsidRDefault="00000000" w:rsidP="00D5476B">
      <w:pPr>
        <w:pStyle w:val="a8"/>
        <w:autoSpaceDE w:val="0"/>
        <w:autoSpaceDN w:val="0"/>
        <w:spacing w:beforeLines="50" w:before="156" w:afterLines="50" w:after="156" w:line="360" w:lineRule="exact"/>
        <w:ind w:firstLineChars="200" w:firstLine="480"/>
        <w:jc w:val="both"/>
        <w:rPr>
          <w:rFonts w:ascii="宋体" w:hAnsi="宋体" w:hint="eastAsia"/>
          <w:kern w:val="0"/>
          <w:lang w:bidi="ar"/>
        </w:rPr>
      </w:pPr>
      <w:r>
        <w:rPr>
          <w:rFonts w:ascii="宋体" w:hAnsi="宋体" w:hint="eastAsia"/>
          <w:kern w:val="0"/>
          <w:lang w:bidi="ar"/>
        </w:rPr>
        <w:t>本研究通过深入探讨幼儿园建构游戏材料的投放策略，分析了当前建构游戏材料投放的现状和问题，并提出了优化建构材料提供来源、明确建构材料分配问题、重视幼儿园教师指导方式等具体的建议与对策。这些建议与对策旨在丰富</w:t>
      </w:r>
      <w:proofErr w:type="gramStart"/>
      <w:r>
        <w:rPr>
          <w:rFonts w:ascii="宋体" w:hAnsi="宋体" w:hint="eastAsia"/>
          <w:kern w:val="0"/>
          <w:lang w:bidi="ar"/>
        </w:rPr>
        <w:t>建构区</w:t>
      </w:r>
      <w:proofErr w:type="gramEnd"/>
      <w:r>
        <w:rPr>
          <w:rFonts w:ascii="宋体" w:hAnsi="宋体" w:hint="eastAsia"/>
          <w:kern w:val="0"/>
          <w:lang w:bidi="ar"/>
        </w:rPr>
        <w:t xml:space="preserve">的材料种类和操作方式，激发幼儿的建构兴趣和创造力，促进幼儿的全面发展。同时，本研究还强调了教师在建构游戏材料投放和指导方面的重要作用，提出了加强教师培训、建立指导体系和鼓励教师创新等具体措施，为提升教师的专业素养和教学水平提供了有益的参考。未来，幼儿园应继续加强对建构游戏材料投放策略的研究和实践，不断优化建构游戏环境，提高建构游戏质量，为幼儿的全面发展创造更加良好的条件。 </w:t>
      </w:r>
    </w:p>
    <w:p w14:paraId="78B24F9B" w14:textId="77777777" w:rsidR="00DC45C4" w:rsidRDefault="00000000" w:rsidP="006A25E4">
      <w:pPr>
        <w:pStyle w:val="1"/>
        <w:widowControl/>
        <w:shd w:val="clear" w:color="auto" w:fill="FFFFFF"/>
        <w:spacing w:beforeLines="50" w:before="156" w:afterLines="50" w:after="156" w:line="360" w:lineRule="exact"/>
        <w:ind w:right="0" w:firstLine="0"/>
        <w:rPr>
          <w:rFonts w:ascii="黑体" w:eastAsia="黑体" w:hAnsi="黑体"/>
          <w:color w:val="000000"/>
          <w:sz w:val="28"/>
          <w:szCs w:val="28"/>
          <w:shd w:val="clear" w:color="auto" w:fill="FFFFFF"/>
        </w:rPr>
      </w:pPr>
      <w:bookmarkStart w:id="10" w:name="_Toc9371"/>
      <w:r>
        <w:br w:type="page"/>
      </w:r>
      <w:r>
        <w:rPr>
          <w:rFonts w:ascii="黑体" w:eastAsia="黑体" w:hAnsi="黑体"/>
          <w:color w:val="000000"/>
          <w:sz w:val="28"/>
          <w:szCs w:val="28"/>
          <w:shd w:val="clear" w:color="auto" w:fill="FFFFFF"/>
        </w:rPr>
        <w:lastRenderedPageBreak/>
        <w:t>致  谢</w:t>
      </w:r>
      <w:bookmarkEnd w:id="10"/>
    </w:p>
    <w:p w14:paraId="6BA4EB43" w14:textId="77777777" w:rsidR="00DC45C4" w:rsidRDefault="00DC45C4">
      <w:pPr>
        <w:autoSpaceDE w:val="0"/>
        <w:autoSpaceDN w:val="0"/>
        <w:spacing w:before="156" w:after="156" w:line="360" w:lineRule="exact"/>
        <w:ind w:firstLineChars="200" w:firstLine="480"/>
        <w:jc w:val="both"/>
        <w:rPr>
          <w:rFonts w:ascii="宋体" w:hAnsi="宋体" w:hint="eastAsia"/>
          <w:kern w:val="0"/>
          <w:sz w:val="24"/>
          <w:lang w:bidi="ar"/>
        </w:rPr>
      </w:pPr>
    </w:p>
    <w:p w14:paraId="30E25038" w14:textId="77777777" w:rsidR="00DC45C4" w:rsidRDefault="00000000" w:rsidP="006A25E4">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我要感谢指导老师，您专业的引领和耐心的答疑，让我少走弯路，您严谨的学术态度激励着我不断前行。</w:t>
      </w:r>
    </w:p>
    <w:p w14:paraId="752C36F4" w14:textId="77777777" w:rsidR="00DC45C4" w:rsidRDefault="00000000" w:rsidP="006A25E4">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感谢家人，在我专注研究时，是你们的默默付出与支持，为我创造良好环境，你们的理解和鼓励是我完成论文的坚实后盾。</w:t>
      </w:r>
    </w:p>
    <w:p w14:paraId="3C451AD6" w14:textId="77777777" w:rsidR="00DC45C4" w:rsidRDefault="00000000" w:rsidP="006A25E4">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感谢同学们，研究中我们相互讨论，你们的不同视角为我带来新灵感，同窗情谊无比珍贵。</w:t>
      </w:r>
    </w:p>
    <w:p w14:paraId="422368AC" w14:textId="77777777" w:rsidR="00DC45C4" w:rsidRDefault="00000000" w:rsidP="006A25E4">
      <w:pPr>
        <w:pStyle w:val="a8"/>
        <w:autoSpaceDE w:val="0"/>
        <w:autoSpaceDN w:val="0"/>
        <w:spacing w:beforeLines="50" w:before="156" w:afterLines="50" w:after="156" w:line="360" w:lineRule="exact"/>
        <w:ind w:firstLineChars="200" w:firstLine="480"/>
        <w:jc w:val="both"/>
        <w:rPr>
          <w:rFonts w:ascii="宋体" w:hAnsi="宋体" w:hint="eastAsia"/>
          <w:kern w:val="0"/>
          <w:shd w:val="clear" w:color="auto" w:fill="FFFFFF"/>
          <w:lang w:bidi="ar"/>
        </w:rPr>
      </w:pPr>
      <w:r>
        <w:rPr>
          <w:rFonts w:ascii="宋体" w:hAnsi="宋体" w:hint="eastAsia"/>
          <w:kern w:val="0"/>
          <w:shd w:val="clear" w:color="auto" w:fill="FFFFFF"/>
          <w:lang w:bidi="ar"/>
        </w:rPr>
        <w:t>最后，感谢参与评审和答辩的专家老师们，你们的宝贵意见是对</w:t>
      </w:r>
      <w:proofErr w:type="gramStart"/>
      <w:r>
        <w:rPr>
          <w:rFonts w:ascii="宋体" w:hAnsi="宋体" w:hint="eastAsia"/>
          <w:kern w:val="0"/>
          <w:shd w:val="clear" w:color="auto" w:fill="FFFFFF"/>
          <w:lang w:bidi="ar"/>
        </w:rPr>
        <w:t>我成果</w:t>
      </w:r>
      <w:proofErr w:type="gramEnd"/>
      <w:r>
        <w:rPr>
          <w:rFonts w:ascii="宋体" w:hAnsi="宋体" w:hint="eastAsia"/>
          <w:kern w:val="0"/>
          <w:shd w:val="clear" w:color="auto" w:fill="FFFFFF"/>
          <w:lang w:bidi="ar"/>
        </w:rPr>
        <w:t>的检验，更是我未来学术道路的指引。感恩有你们！</w:t>
      </w:r>
    </w:p>
    <w:p w14:paraId="63735BA9" w14:textId="77777777" w:rsidR="00DC45C4" w:rsidRDefault="00DC45C4">
      <w:pPr>
        <w:spacing w:before="156" w:after="156" w:line="360" w:lineRule="exact"/>
        <w:ind w:firstLine="200"/>
        <w:jc w:val="both"/>
        <w:rPr>
          <w:rFonts w:ascii="宋体" w:hAnsi="宋体" w:hint="eastAsia"/>
          <w:sz w:val="24"/>
        </w:rPr>
      </w:pPr>
    </w:p>
    <w:p w14:paraId="5B903FAE" w14:textId="77777777" w:rsidR="00DC45C4" w:rsidRDefault="00DC45C4">
      <w:pPr>
        <w:spacing w:before="156" w:after="156" w:line="360" w:lineRule="exact"/>
        <w:ind w:firstLine="200"/>
        <w:jc w:val="both"/>
        <w:rPr>
          <w:rFonts w:ascii="宋体" w:hAnsi="宋体" w:hint="eastAsia"/>
          <w:sz w:val="24"/>
        </w:rPr>
      </w:pPr>
    </w:p>
    <w:p w14:paraId="47E7D585" w14:textId="77777777" w:rsidR="00DC45C4" w:rsidRDefault="00DC45C4">
      <w:pPr>
        <w:spacing w:before="156" w:after="156" w:line="360" w:lineRule="exact"/>
        <w:ind w:firstLine="200"/>
        <w:jc w:val="both"/>
        <w:rPr>
          <w:rFonts w:ascii="宋体" w:hAnsi="宋体" w:hint="eastAsia"/>
          <w:sz w:val="24"/>
        </w:rPr>
      </w:pPr>
    </w:p>
    <w:p w14:paraId="23F72AF5" w14:textId="77777777" w:rsidR="00DC45C4" w:rsidRDefault="00DC45C4">
      <w:pPr>
        <w:spacing w:before="156" w:after="156" w:line="360" w:lineRule="exact"/>
        <w:ind w:firstLine="200"/>
        <w:jc w:val="both"/>
        <w:rPr>
          <w:rFonts w:ascii="宋体" w:hAnsi="宋体" w:hint="eastAsia"/>
          <w:sz w:val="24"/>
        </w:rPr>
      </w:pPr>
    </w:p>
    <w:p w14:paraId="5C37B219" w14:textId="77777777" w:rsidR="00DC45C4" w:rsidRDefault="00DC45C4">
      <w:pPr>
        <w:spacing w:before="156" w:after="156" w:line="360" w:lineRule="exact"/>
        <w:ind w:firstLine="200"/>
        <w:jc w:val="both"/>
        <w:rPr>
          <w:rFonts w:ascii="宋体" w:hAnsi="宋体" w:hint="eastAsia"/>
          <w:sz w:val="24"/>
        </w:rPr>
      </w:pPr>
    </w:p>
    <w:p w14:paraId="5FB852A8" w14:textId="77777777" w:rsidR="00DC45C4" w:rsidRDefault="00DC45C4">
      <w:pPr>
        <w:spacing w:before="156" w:after="156" w:line="360" w:lineRule="exact"/>
        <w:ind w:firstLine="200"/>
        <w:jc w:val="both"/>
        <w:rPr>
          <w:rFonts w:ascii="宋体" w:hAnsi="宋体" w:hint="eastAsia"/>
          <w:sz w:val="24"/>
        </w:rPr>
      </w:pPr>
    </w:p>
    <w:p w14:paraId="3D47CE40" w14:textId="77777777" w:rsidR="00DC45C4" w:rsidRDefault="00DC45C4">
      <w:pPr>
        <w:spacing w:before="156" w:after="156" w:line="360" w:lineRule="exact"/>
        <w:ind w:firstLine="200"/>
        <w:jc w:val="both"/>
        <w:rPr>
          <w:rFonts w:ascii="宋体" w:hAnsi="宋体" w:hint="eastAsia"/>
          <w:sz w:val="24"/>
        </w:rPr>
      </w:pPr>
    </w:p>
    <w:p w14:paraId="06C03137" w14:textId="77777777" w:rsidR="00DC45C4" w:rsidRDefault="00DC45C4">
      <w:pPr>
        <w:spacing w:before="156" w:after="156" w:line="360" w:lineRule="exact"/>
        <w:ind w:firstLine="200"/>
        <w:jc w:val="both"/>
        <w:rPr>
          <w:rFonts w:ascii="宋体" w:hAnsi="宋体" w:hint="eastAsia"/>
          <w:sz w:val="24"/>
        </w:rPr>
      </w:pPr>
    </w:p>
    <w:p w14:paraId="162CB4CB" w14:textId="77777777" w:rsidR="00DC45C4" w:rsidRDefault="00DC45C4">
      <w:pPr>
        <w:autoSpaceDE w:val="0"/>
        <w:autoSpaceDN w:val="0"/>
        <w:spacing w:before="156" w:after="156" w:line="360" w:lineRule="exact"/>
        <w:ind w:firstLine="200"/>
        <w:jc w:val="both"/>
        <w:rPr>
          <w:rFonts w:ascii="黑体" w:eastAsia="黑体" w:hAnsi="宋体" w:hint="eastAsia"/>
          <w:kern w:val="0"/>
          <w:sz w:val="28"/>
          <w:szCs w:val="28"/>
          <w:lang w:bidi="ar"/>
        </w:rPr>
      </w:pPr>
    </w:p>
    <w:p w14:paraId="4C2090DC" w14:textId="77777777" w:rsidR="00DC45C4" w:rsidRDefault="00DC45C4">
      <w:pPr>
        <w:autoSpaceDE w:val="0"/>
        <w:autoSpaceDN w:val="0"/>
        <w:spacing w:before="156" w:after="156" w:line="360" w:lineRule="exact"/>
        <w:ind w:firstLine="200"/>
        <w:jc w:val="both"/>
        <w:rPr>
          <w:rFonts w:ascii="黑体" w:eastAsia="黑体" w:hAnsi="宋体" w:hint="eastAsia"/>
          <w:kern w:val="0"/>
          <w:sz w:val="28"/>
          <w:szCs w:val="28"/>
          <w:lang w:bidi="ar"/>
        </w:rPr>
      </w:pPr>
    </w:p>
    <w:p w14:paraId="18621BD8" w14:textId="77777777" w:rsidR="00DC45C4" w:rsidRDefault="00DC45C4">
      <w:pPr>
        <w:autoSpaceDE w:val="0"/>
        <w:autoSpaceDN w:val="0"/>
        <w:spacing w:before="156" w:after="156" w:line="360" w:lineRule="exact"/>
        <w:ind w:firstLine="200"/>
        <w:jc w:val="both"/>
        <w:rPr>
          <w:rFonts w:ascii="黑体" w:eastAsia="黑体" w:hAnsi="宋体" w:hint="eastAsia"/>
          <w:kern w:val="0"/>
          <w:sz w:val="28"/>
          <w:szCs w:val="28"/>
          <w:lang w:bidi="ar"/>
        </w:rPr>
      </w:pPr>
    </w:p>
    <w:p w14:paraId="06D2F1BB" w14:textId="77777777" w:rsidR="00DC45C4" w:rsidRDefault="00000000" w:rsidP="006A25E4">
      <w:pPr>
        <w:pageBreakBefore/>
        <w:autoSpaceDE w:val="0"/>
        <w:autoSpaceDN w:val="0"/>
        <w:spacing w:beforeLines="50" w:before="156" w:afterLines="50" w:after="156" w:line="360" w:lineRule="exact"/>
        <w:ind w:firstLine="0"/>
        <w:jc w:val="both"/>
        <w:outlineLvl w:val="0"/>
        <w:rPr>
          <w:rFonts w:ascii="黑体" w:eastAsia="黑体" w:hAnsi="宋体" w:hint="eastAsia"/>
          <w:kern w:val="0"/>
          <w:sz w:val="28"/>
          <w:szCs w:val="28"/>
          <w:lang w:bidi="ar"/>
        </w:rPr>
      </w:pPr>
      <w:bookmarkStart w:id="11" w:name="_Toc8070"/>
      <w:r>
        <w:rPr>
          <w:rFonts w:ascii="黑体" w:eastAsia="黑体" w:hAnsi="宋体" w:hint="eastAsia"/>
          <w:kern w:val="0"/>
          <w:sz w:val="28"/>
          <w:szCs w:val="28"/>
          <w:lang w:bidi="ar"/>
        </w:rPr>
        <w:lastRenderedPageBreak/>
        <w:t>参考文献</w:t>
      </w:r>
      <w:bookmarkEnd w:id="11"/>
    </w:p>
    <w:p w14:paraId="6590589D"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 xml:space="preserve">[1]  史力玲,王京红.合理投放游戏材料，促进幼儿深度学习[J].留学,2024,(05):32-34. </w:t>
      </w:r>
    </w:p>
    <w:p w14:paraId="6DA47C63"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 xml:space="preserve">[2]  韩璐.科学投放材料开展建构游戏[J].家教世界,2023,(33):39-40.          </w:t>
      </w:r>
    </w:p>
    <w:p w14:paraId="5A44DDBF"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 xml:space="preserve">[3]  叶青英.幼儿园建构游戏材料的有效投放策略[J].名师在线,2023,(26):88-90. </w:t>
      </w:r>
    </w:p>
    <w:p w14:paraId="1EFBC4ED"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 xml:space="preserve">[4]  何婷婷.浅谈建构游戏中的材料投放策略[J].儿童与健康,2023,(07):76-77.  </w:t>
      </w:r>
    </w:p>
    <w:p w14:paraId="3BBE7816"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[5]  廖茂洁.社区资源在幼儿建构游戏中的应用[J].家长,2025,(08):137-139.</w:t>
      </w:r>
    </w:p>
    <w:p w14:paraId="1511C27B"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[6]  林静.建构游戏中促进幼儿数学学习的支持策略[J].家长,2025,(02):28-31.</w:t>
      </w:r>
    </w:p>
    <w:p w14:paraId="655E9E08"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[7]  邱宇.合理投放大班</w:t>
      </w:r>
      <w:proofErr w:type="gramStart"/>
      <w:r>
        <w:rPr>
          <w:rFonts w:ascii="宋体" w:hAnsi="宋体" w:hint="eastAsia"/>
          <w:szCs w:val="21"/>
          <w:lang w:bidi="ar"/>
        </w:rPr>
        <w:t>建构区材料</w:t>
      </w:r>
      <w:proofErr w:type="gramEnd"/>
      <w:r>
        <w:rPr>
          <w:rFonts w:ascii="宋体" w:hAnsi="宋体" w:hint="eastAsia"/>
          <w:szCs w:val="21"/>
          <w:lang w:bidi="ar"/>
        </w:rPr>
        <w:t xml:space="preserve">[J].家教世界,2023,(30):37-38.            </w:t>
      </w:r>
    </w:p>
    <w:p w14:paraId="79E17F54"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 xml:space="preserve">[8]  周丽敏.中班幼儿建构游戏中材料的选择与投放[J].山西教育(幼教),2024,(10):63-64. </w:t>
      </w:r>
    </w:p>
    <w:p w14:paraId="5ADEC555"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 xml:space="preserve">[9]  王志洪.手脑并用：“幼儿建构游戏”设计策略与教学实践探索[J].基础教育论坛,2024,(18):32-34.  </w:t>
      </w:r>
    </w:p>
    <w:p w14:paraId="2F45259F" w14:textId="77777777" w:rsidR="00DC45C4" w:rsidRDefault="00000000" w:rsidP="006A25E4">
      <w:pPr>
        <w:spacing w:beforeLines="50" w:before="156" w:afterLines="50" w:after="156" w:line="360" w:lineRule="exact"/>
        <w:ind w:left="420" w:hangingChars="200" w:hanging="420"/>
        <w:jc w:val="left"/>
        <w:rPr>
          <w:rFonts w:ascii="宋体" w:hAnsi="宋体" w:hint="eastAsia"/>
          <w:szCs w:val="21"/>
          <w:lang w:bidi="ar"/>
        </w:rPr>
      </w:pPr>
      <w:r>
        <w:rPr>
          <w:rFonts w:ascii="宋体" w:hAnsi="宋体" w:hint="eastAsia"/>
          <w:szCs w:val="21"/>
          <w:lang w:bidi="ar"/>
        </w:rPr>
        <w:t xml:space="preserve">[10] </w:t>
      </w:r>
      <w:proofErr w:type="gramStart"/>
      <w:r>
        <w:rPr>
          <w:rFonts w:ascii="宋体" w:hAnsi="宋体" w:hint="eastAsia"/>
          <w:szCs w:val="21"/>
          <w:lang w:bidi="ar"/>
        </w:rPr>
        <w:t>张艺馨</w:t>
      </w:r>
      <w:proofErr w:type="gramEnd"/>
      <w:r>
        <w:rPr>
          <w:rFonts w:ascii="宋体" w:hAnsi="宋体" w:hint="eastAsia"/>
          <w:szCs w:val="21"/>
          <w:lang w:bidi="ar"/>
        </w:rPr>
        <w:t>.幼儿建构游戏中材料投放的策略研究[J].教育界,2025,(04):119-121.</w:t>
      </w:r>
    </w:p>
    <w:p w14:paraId="0AC11324" w14:textId="77777777" w:rsidR="00DC45C4" w:rsidRDefault="00000000" w:rsidP="006A25E4">
      <w:pPr>
        <w:shd w:val="clear" w:color="auto" w:fill="FFFFFF"/>
        <w:spacing w:beforeLines="50" w:before="156" w:afterLines="50" w:after="156" w:line="360" w:lineRule="exact"/>
        <w:ind w:left="200" w:hanging="200"/>
        <w:jc w:val="left"/>
        <w:rPr>
          <w:rFonts w:ascii="黑体" w:eastAsia="黑体" w:hAnsi="黑体" w:hint="eastAsia"/>
          <w:sz w:val="30"/>
          <w:szCs w:val="30"/>
        </w:rPr>
      </w:pPr>
      <w:r>
        <w:rPr>
          <w:rFonts w:ascii="黑体" w:eastAsia="黑体" w:hAnsi="黑体" w:hint="eastAsia"/>
          <w:sz w:val="30"/>
          <w:szCs w:val="30"/>
        </w:rPr>
        <w:t xml:space="preserve"> </w:t>
      </w:r>
    </w:p>
    <w:p w14:paraId="2C07FF68" w14:textId="6ACF40AA" w:rsidR="009970A6" w:rsidRDefault="00C71BD0" w:rsidP="006A25E4">
      <w:pPr>
        <w:spacing w:line="360" w:lineRule="exact"/>
        <w:ind w:hanging="200"/>
      </w:pPr>
      <w:r>
        <w:rPr>
          <w:noProof/>
        </w:rPr>
        <mc:AlternateContent>
          <mc:Choice Requires="wps">
            <w:drawing>
              <wp:anchor distT="0" distB="0" distL="114300" distR="114300" simplePos="0" relativeHeight="251657728" behindDoc="0" locked="0" layoutInCell="1" allowOverlap="1" wp14:anchorId="49DDFC84" wp14:editId="3B8EA7FC">
                <wp:simplePos x="0" y="0"/>
                <wp:positionH relativeFrom="column">
                  <wp:posOffset>0</wp:posOffset>
                </wp:positionH>
                <wp:positionV relativeFrom="paragraph">
                  <wp:posOffset>0</wp:posOffset>
                </wp:positionV>
                <wp:extent cx="635000" cy="635000"/>
                <wp:effectExtent l="9525" t="9525" r="12700" b="12700"/>
                <wp:wrapNone/>
                <wp:docPr id="710227454" name="Rectangle 2" hidden="1"/>
                <wp:cNvGraphicFramePr>
                  <a:graphicFrameLocks xmlns:a="http://schemas.openxmlformats.org/drawingml/2006/main" noSelect="1" noChangeAspect="1"/>
                </wp:cNvGraphicFramePr>
                <a:graphic xmlns:a="http://schemas.openxmlformats.org/drawingml/2006/main">
                  <a:graphicData uri="http://schemas.microsoft.com/office/word/2010/wordprocessingShape">
                    <wps:wsp>
                      <wps:cNvSpPr>
                        <a:spLocks noSelect="1" noChangeAspect="1"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C3B4FC" id="Rectangle 2" o:spid="_x0000_s1026" style="position:absolute;margin-left:0;margin-top:0;width:50pt;height:50pt;z-index:251657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">
                <o:lock v:ext="edit" aspectratio="t" selection="t"/>
              </v:rect>
            </w:pict>
          </mc:Fallback>
        </mc:AlternateContent>
      </w:r>
    </w:p>
    <w:sectPr w:rsidR="009970A6">
      <w:headerReference w:type="even" r:id="rId13"/>
      <w:headerReference w:type="default" r:id="rId14"/>
      <w:footerReference w:type="even" r:id="rId15"/>
      <w:footerReference w:type="default" r:id="rId16"/>
      <w:headerReference w:type="first" r:id="rId17"/>
      <w:footerReference w:type="first" r:id="rId18"/>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CB393" w14:textId="77777777" w:rsidR="00503973" w:rsidRDefault="00503973">
      <w:pPr>
        <w:spacing w:before="0" w:after="0" w:line="240" w:lineRule="auto"/>
      </w:pPr>
      <w:r>
        <w:separator/>
      </w:r>
    </w:p>
  </w:endnote>
  <w:endnote w:type="continuationSeparator" w:id="0">
    <w:p w14:paraId="13EE780B" w14:textId="77777777" w:rsidR="00503973" w:rsidRDefault="0050397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C37EA" w14:textId="77777777" w:rsidR="00DC45C4" w:rsidRDefault="00DC45C4">
    <w:pPr>
      <w:pStyle w:val="a5"/>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95C20" w14:textId="77777777" w:rsidR="00DC45C4" w:rsidRDefault="00DC45C4">
    <w:pPr>
      <w:pStyle w:val="a5"/>
      <w:spacing w:before="120" w:after="120"/>
      <w:jc w:val="center"/>
      <w:rPr>
        <w:rFonts w:ascii="宋体" w:hAnsi="宋体"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7C2D6" w14:textId="77777777" w:rsidR="00DC45C4" w:rsidRDefault="00DC45C4">
    <w:pPr>
      <w:pStyle w:val="a5"/>
      <w:spacing w:before="120" w:after="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B28A4" w14:textId="77777777" w:rsidR="00F8386B" w:rsidRDefault="00F8386B">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8AD2B" w14:textId="77777777" w:rsidR="00DC45C4" w:rsidRDefault="00000000">
    <w:pPr>
      <w:pStyle w:val="a5"/>
      <w:spacing w:before="120" w:after="120"/>
      <w:jc w:val="center"/>
      <w:rPr>
        <w:rFonts w:ascii="宋体" w:hAnsi="宋体" w:hint="eastAsia"/>
      </w:rPr>
    </w:pPr>
    <w:r>
      <w:rPr>
        <w:rFonts w:ascii="宋体" w:hAnsi="宋体" w:hint="eastAsia"/>
      </w:rPr>
      <w:fldChar w:fldCharType="begin"/>
    </w:r>
    <w:r>
      <w:rPr>
        <w:rStyle w:val="aa"/>
        <w:rFonts w:ascii="宋体" w:hAnsi="宋体" w:hint="eastAsia"/>
      </w:rPr>
      <w:instrText xml:space="preserve"> PAGE </w:instrText>
    </w:r>
    <w:r>
      <w:rPr>
        <w:rFonts w:ascii="宋体" w:hAnsi="宋体" w:hint="eastAsia"/>
      </w:rPr>
      <w:fldChar w:fldCharType="separate"/>
    </w:r>
    <w:r>
      <w:rPr>
        <w:rStyle w:val="aa"/>
        <w:rFonts w:ascii="宋体" w:hAnsi="宋体"/>
      </w:rPr>
      <w:t>4</w:t>
    </w:r>
    <w:r>
      <w:rPr>
        <w:rFonts w:ascii="宋体" w:hAnsi="宋体" w:hint="eastAsia"/>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12475" w14:textId="77777777" w:rsidR="00F8386B" w:rsidRDefault="00F838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0974A" w14:textId="77777777" w:rsidR="00503973" w:rsidRDefault="00503973">
      <w:pPr>
        <w:spacing w:before="0" w:after="0" w:line="240" w:lineRule="auto"/>
      </w:pPr>
      <w:r>
        <w:separator/>
      </w:r>
    </w:p>
  </w:footnote>
  <w:footnote w:type="continuationSeparator" w:id="0">
    <w:p w14:paraId="381763B0" w14:textId="77777777" w:rsidR="00503973" w:rsidRDefault="00503973">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AEAA6" w14:textId="77777777" w:rsidR="00DC45C4" w:rsidRDefault="00DC45C4">
    <w:pPr>
      <w:pStyle w:val="a6"/>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16181" w14:textId="77777777" w:rsidR="00DC45C4" w:rsidRDefault="00DC45C4">
    <w:pPr>
      <w:pStyle w:val="a6"/>
      <w:pBdr>
        <w:bottom w:val="none" w:sz="0" w:space="1" w:color="auto"/>
      </w:pBdr>
      <w:spacing w:before="120" w:after="1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AEEDC" w14:textId="77777777" w:rsidR="00DC45C4" w:rsidRDefault="00DC45C4">
    <w:pPr>
      <w:pStyle w:val="a6"/>
      <w:spacing w:before="120" w:after="1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9C602" w14:textId="77777777" w:rsidR="00F8386B" w:rsidRDefault="00F8386B">
    <w:pPr>
      <w:pStyle w:val="a6"/>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5B585" w14:textId="77777777" w:rsidR="00DC45C4" w:rsidRDefault="00000000">
    <w:pPr>
      <w:pStyle w:val="a6"/>
      <w:pBdr>
        <w:bottom w:val="none" w:sz="0" w:space="1" w:color="auto"/>
      </w:pBdr>
      <w:spacing w:before="120" w:after="120"/>
      <w:rPr>
        <w:sz w:val="21"/>
        <w:szCs w:val="21"/>
      </w:rPr>
    </w:pPr>
    <w:r>
      <w:rPr>
        <w:rFonts w:hint="eastAsia"/>
        <w:sz w:val="21"/>
        <w:szCs w:val="21"/>
      </w:rPr>
      <w:t>广东创新科技职业学院</w:t>
    </w:r>
    <w:r>
      <w:rPr>
        <w:sz w:val="21"/>
        <w:szCs w:val="21"/>
      </w:rPr>
      <w:t>20</w:t>
    </w:r>
    <w:r>
      <w:rPr>
        <w:rFonts w:hint="eastAsia"/>
        <w:sz w:val="21"/>
        <w:szCs w:val="21"/>
      </w:rPr>
      <w:t>25</w:t>
    </w:r>
    <w:r>
      <w:rPr>
        <w:rFonts w:hint="eastAsia"/>
        <w:sz w:val="21"/>
        <w:szCs w:val="21"/>
      </w:rPr>
      <w:t>届毕业设计（论文）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DC4D7" w14:textId="77777777" w:rsidR="00F8386B" w:rsidRDefault="00F8386B">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1128" w:allStyles="0" w:customStyles="0" w:latentStyles="0" w:stylesInUse="1" w:headingStyles="1" w:numberingStyles="0" w:tableStyles="0" w:directFormattingOnRuns="1" w:directFormattingOnParagraphs="0" w:directFormattingOnNumbering="0" w:directFormattingOnTables="0" w:clearFormatting="1" w:top3HeadingStyles="0" w:visibleStyles="0" w:alternateStyleNames="0"/>
  <w:stylePaneSortMethod w:val="0004"/>
  <w:defaultTabStop w:val="420"/>
  <w:characterSpacingControl w:val="compressPunctuation"/>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5C4"/>
    <w:rsid w:val="000525B9"/>
    <w:rsid w:val="000931DC"/>
    <w:rsid w:val="002420A0"/>
    <w:rsid w:val="003F5859"/>
    <w:rsid w:val="00503973"/>
    <w:rsid w:val="00584B08"/>
    <w:rsid w:val="005D4B53"/>
    <w:rsid w:val="006631E4"/>
    <w:rsid w:val="00681746"/>
    <w:rsid w:val="006A25E4"/>
    <w:rsid w:val="006F4B32"/>
    <w:rsid w:val="00830FBF"/>
    <w:rsid w:val="0087140B"/>
    <w:rsid w:val="008C1407"/>
    <w:rsid w:val="00971E15"/>
    <w:rsid w:val="009835AD"/>
    <w:rsid w:val="009970A6"/>
    <w:rsid w:val="009A3755"/>
    <w:rsid w:val="00A56081"/>
    <w:rsid w:val="00AE7C9B"/>
    <w:rsid w:val="00BA7713"/>
    <w:rsid w:val="00C13DC3"/>
    <w:rsid w:val="00C71BD0"/>
    <w:rsid w:val="00CC50FE"/>
    <w:rsid w:val="00D5476B"/>
    <w:rsid w:val="00D81BD7"/>
    <w:rsid w:val="00DB0598"/>
    <w:rsid w:val="00DC45C4"/>
    <w:rsid w:val="00E348BA"/>
    <w:rsid w:val="00F11938"/>
    <w:rsid w:val="00F8386B"/>
    <w:rsid w:val="00F93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0E1ED"/>
  <w15:docId w15:val="{E5861B1A-89F2-419E-A4F0-E73BA9A8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before="50" w:after="50" w:line="300" w:lineRule="auto"/>
      <w:ind w:firstLine="198"/>
      <w:jc w:val="center"/>
    </w:pPr>
    <w:rPr>
      <w:kern w:val="2"/>
      <w:sz w:val="21"/>
      <w:szCs w:val="24"/>
    </w:rPr>
  </w:style>
  <w:style w:type="paragraph" w:styleId="1">
    <w:name w:val="heading 1"/>
    <w:basedOn w:val="a"/>
    <w:link w:val="10"/>
    <w:uiPriority w:val="9"/>
    <w:qFormat/>
    <w:pPr>
      <w:widowControl w:val="0"/>
      <w:autoSpaceDE w:val="0"/>
      <w:autoSpaceDN w:val="0"/>
      <w:spacing w:before="21" w:after="0"/>
      <w:ind w:right="72"/>
      <w:outlineLvl w:val="0"/>
    </w:pPr>
    <w:rPr>
      <w:rFonts w:ascii="宋体" w:hAnsi="宋体" w:hint="eastAsia"/>
      <w:kern w:val="0"/>
      <w:sz w:val="44"/>
      <w:szCs w:val="44"/>
    </w:rPr>
  </w:style>
  <w:style w:type="paragraph" w:styleId="2">
    <w:name w:val="heading 2"/>
    <w:basedOn w:val="a"/>
    <w:link w:val="20"/>
    <w:unhideWhenUsed/>
    <w:qFormat/>
    <w:pPr>
      <w:widowControl w:val="0"/>
      <w:autoSpaceDE w:val="0"/>
      <w:autoSpaceDN w:val="0"/>
      <w:spacing w:before="0" w:after="0"/>
      <w:ind w:right="74"/>
      <w:outlineLvl w:val="1"/>
    </w:pPr>
    <w:rPr>
      <w:rFonts w:ascii="宋体" w:hAnsi="宋体" w:hint="eastAsia"/>
      <w:kern w:val="0"/>
      <w:sz w:val="36"/>
      <w:szCs w:val="36"/>
    </w:rPr>
  </w:style>
  <w:style w:type="paragraph" w:styleId="3">
    <w:name w:val="heading 3"/>
    <w:basedOn w:val="a"/>
    <w:link w:val="30"/>
    <w:uiPriority w:val="9"/>
    <w:unhideWhenUsed/>
    <w:qFormat/>
    <w:pPr>
      <w:widowControl w:val="0"/>
      <w:autoSpaceDE w:val="0"/>
      <w:autoSpaceDN w:val="0"/>
      <w:spacing w:before="0" w:after="0"/>
      <w:ind w:left="718" w:hanging="527"/>
      <w:jc w:val="left"/>
      <w:outlineLvl w:val="2"/>
    </w:pPr>
    <w:rPr>
      <w:rFonts w:ascii="宋体" w:hAnsi="宋体" w:hint="eastAsia"/>
      <w:kern w:val="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宋体" w:eastAsia="宋体" w:hAnsi="宋体" w:hint="eastAsia"/>
      <w:sz w:val="44"/>
      <w:szCs w:val="44"/>
      <w:lang w:val="zh-CN" w:bidi="zh-CN"/>
    </w:rPr>
  </w:style>
  <w:style w:type="character" w:customStyle="1" w:styleId="20">
    <w:name w:val="标题 2 字符"/>
    <w:link w:val="2"/>
    <w:rPr>
      <w:rFonts w:ascii="宋体" w:eastAsia="宋体" w:hAnsi="宋体" w:hint="eastAsia"/>
      <w:sz w:val="36"/>
      <w:szCs w:val="36"/>
      <w:lang w:val="zh-CN" w:bidi="zh-CN"/>
    </w:rPr>
  </w:style>
  <w:style w:type="character" w:customStyle="1" w:styleId="30">
    <w:name w:val="标题 3 字符"/>
    <w:link w:val="3"/>
    <w:rPr>
      <w:rFonts w:ascii="宋体" w:eastAsia="宋体" w:hAnsi="宋体" w:hint="eastAsia"/>
      <w:sz w:val="30"/>
      <w:szCs w:val="30"/>
      <w:lang w:val="zh-CN" w:bidi="zh-CN"/>
    </w:rPr>
  </w:style>
  <w:style w:type="paragraph" w:styleId="a3">
    <w:name w:val="Body Text"/>
    <w:basedOn w:val="a"/>
    <w:link w:val="a4"/>
    <w:pPr>
      <w:widowControl w:val="0"/>
      <w:autoSpaceDE w:val="0"/>
      <w:autoSpaceDN w:val="0"/>
      <w:spacing w:before="0" w:after="0"/>
      <w:jc w:val="left"/>
    </w:pPr>
    <w:rPr>
      <w:rFonts w:ascii="宋体" w:hAnsi="宋体" w:hint="eastAsia"/>
      <w:kern w:val="0"/>
      <w:sz w:val="24"/>
    </w:rPr>
  </w:style>
  <w:style w:type="character" w:customStyle="1" w:styleId="a4">
    <w:name w:val="正文文本 字符"/>
    <w:link w:val="a3"/>
    <w:rPr>
      <w:rFonts w:ascii="宋体" w:eastAsia="宋体" w:hAnsi="宋体" w:hint="eastAsia"/>
      <w:sz w:val="24"/>
      <w:szCs w:val="24"/>
      <w:lang w:val="zh-CN" w:bidi="zh-CN"/>
    </w:rPr>
  </w:style>
  <w:style w:type="paragraph" w:styleId="TOC3">
    <w:name w:val="toc 3"/>
    <w:basedOn w:val="a"/>
    <w:pPr>
      <w:ind w:leftChars="400" w:left="840"/>
    </w:p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link w:val="a7"/>
    <w:pPr>
      <w:pBdr>
        <w:bottom w:val="single" w:sz="6" w:space="1" w:color="auto"/>
      </w:pBdr>
      <w:tabs>
        <w:tab w:val="center" w:pos="4153"/>
        <w:tab w:val="right" w:pos="8306"/>
      </w:tabs>
      <w:snapToGrid w:val="0"/>
    </w:pPr>
    <w:rPr>
      <w:sz w:val="18"/>
      <w:szCs w:val="18"/>
    </w:rPr>
  </w:style>
  <w:style w:type="character" w:customStyle="1" w:styleId="a7">
    <w:name w:val="页眉 字符"/>
    <w:link w:val="a6"/>
    <w:rPr>
      <w:rFonts w:eastAsia="宋体"/>
      <w:kern w:val="2"/>
      <w:sz w:val="18"/>
      <w:szCs w:val="18"/>
      <w:lang w:val="en-US" w:eastAsia="zh-CN" w:bidi="ar-SA"/>
    </w:rPr>
  </w:style>
  <w:style w:type="paragraph" w:styleId="TOC1">
    <w:name w:val="toc 1"/>
    <w:basedOn w:val="a"/>
    <w:uiPriority w:val="39"/>
    <w:rsid w:val="00F8386B"/>
    <w:rPr>
      <w:sz w:val="30"/>
    </w:rPr>
  </w:style>
  <w:style w:type="paragraph" w:styleId="TOC2">
    <w:name w:val="toc 2"/>
    <w:basedOn w:val="a"/>
    <w:uiPriority w:val="39"/>
    <w:rsid w:val="00C13DC3"/>
    <w:pPr>
      <w:ind w:leftChars="200" w:left="420"/>
    </w:pPr>
    <w:rPr>
      <w:sz w:val="28"/>
    </w:rPr>
  </w:style>
  <w:style w:type="paragraph" w:styleId="a8">
    <w:name w:val="Normal (Web)"/>
    <w:basedOn w:val="a"/>
    <w:rPr>
      <w:sz w:val="24"/>
    </w:rPr>
  </w:style>
  <w:style w:type="table" w:styleId="a9">
    <w:name w:val="Table Grid"/>
    <w:basedOn w:val="a1"/>
    <w:pPr>
      <w:widowControl w:val="0"/>
      <w:jc w:val="both"/>
    </w:pPr>
    <w:tblPr/>
  </w:style>
  <w:style w:type="character" w:styleId="aa">
    <w:name w:val="page number"/>
  </w:style>
  <w:style w:type="character" w:styleId="ab">
    <w:name w:val="Hyperlink"/>
    <w:uiPriority w:val="99"/>
    <w:rPr>
      <w:color w:val="0000FF"/>
      <w:u w:val="single"/>
    </w:rPr>
  </w:style>
  <w:style w:type="character" w:customStyle="1" w:styleId="emsimilar">
    <w:name w:val="em_similar"/>
    <w:rPr>
      <w:color w:val="FF0000"/>
    </w:rPr>
  </w:style>
  <w:style w:type="paragraph" w:customStyle="1" w:styleId="WPSOffice3">
    <w:name w:val="WPSOffice手动目录 3"/>
    <w:basedOn w:val="a"/>
    <w:pPr>
      <w:spacing w:before="0" w:after="0"/>
      <w:ind w:leftChars="400" w:left="400"/>
      <w:jc w:val="left"/>
    </w:pPr>
    <w:rPr>
      <w:kern w:val="0"/>
      <w:sz w:val="20"/>
      <w:szCs w:val="20"/>
    </w:rPr>
  </w:style>
  <w:style w:type="paragraph" w:customStyle="1" w:styleId="WPSOffice1">
    <w:name w:val="WPSOffice手动目录 1"/>
    <w:basedOn w:val="a"/>
    <w:pPr>
      <w:spacing w:before="0" w:after="0"/>
      <w:jc w:val="left"/>
    </w:pPr>
    <w:rPr>
      <w:kern w:val="0"/>
      <w:sz w:val="20"/>
      <w:szCs w:val="20"/>
    </w:rPr>
  </w:style>
  <w:style w:type="paragraph" w:customStyle="1" w:styleId="WPSOffice2">
    <w:name w:val="WPSOffice手动目录 2"/>
    <w:basedOn w:val="a"/>
    <w:pPr>
      <w:spacing w:before="0" w:after="0"/>
      <w:ind w:leftChars="200" w:left="200"/>
      <w:jc w:val="left"/>
    </w:pPr>
    <w:rPr>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2B5490-D149-4DC2-9928-220A44132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11</Pages>
  <Words>1066</Words>
  <Characters>6081</Characters>
  <Application>Microsoft Office Word</Application>
  <DocSecurity>0</DocSecurity>
  <Lines>50</Lines>
  <Paragraphs>14</Paragraphs>
  <ScaleCrop>false</ScaleCrop>
  <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jiahua chen</dc:creator>
  <cp:keywords/>
  <dc:description/>
  <cp:lastModifiedBy>jiahua chen</cp:lastModifiedBy>
  <cp:revision>10</cp:revision>
  <dcterms:created xsi:type="dcterms:W3CDTF">2025-05-18T16:11:00Z</dcterms:created>
  <dcterms:modified xsi:type="dcterms:W3CDTF">2025-05-20T12:34:00Z</dcterms:modified>
</cp:coreProperties>
</file>