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F300B1">
      <w:pPr>
        <w:keepNext/>
        <w:keepLines/>
        <w:spacing w:before="260" w:after="260" w:line="413" w:lineRule="auto"/>
        <w:jc w:val="center"/>
        <w:rPr>
          <w:rFonts w:ascii="Cambria" w:hAnsi="Cambria" w:eastAsia="Cambria" w:cs="Cambria"/>
          <w:b/>
          <w:sz w:val="36"/>
        </w:rPr>
      </w:pPr>
      <w:r>
        <w:object>
          <v:shape id="_x0000_i1025" o:spt="75" type="#_x0000_t75" style="height:54.5pt;width:342.7pt;" o:ole="t" filled="f" o:preferrelative="t" stroked="f" coordsize="21600,21600">
            <v:path/>
            <v:fill on="f" focussize="0,0"/>
            <v:stroke on="f"/>
            <v:imagedata r:id="rId9" o:title=""/>
            <o:lock v:ext="edit" aspectratio="t"/>
            <w10:wrap type="none"/>
            <w10:anchorlock/>
          </v:shape>
          <o:OLEObject Type="Embed" ProgID="StaticMetafile" ShapeID="_x0000_i1025" DrawAspect="Content" ObjectID="_1468075725" r:id="rId8">
            <o:LockedField>false</o:LockedField>
          </o:OLEObject>
        </w:object>
      </w:r>
    </w:p>
    <w:p w14:paraId="716E5BF1">
      <w:pPr>
        <w:keepNext/>
        <w:keepLines/>
        <w:pageBreakBefore w:val="0"/>
        <w:widowControl w:val="0"/>
        <w:kinsoku/>
        <w:wordWrap/>
        <w:overflowPunct/>
        <w:topLinePunct w:val="0"/>
        <w:autoSpaceDE/>
        <w:autoSpaceDN/>
        <w:bidi w:val="0"/>
        <w:adjustRightInd/>
        <w:snapToGrid/>
        <w:spacing w:before="260" w:after="260" w:line="240" w:lineRule="atLeast"/>
        <w:jc w:val="center"/>
        <w:textAlignment w:val="auto"/>
        <w:rPr>
          <w:rFonts w:ascii="Cambria" w:hAnsi="Cambria" w:eastAsia="Cambria" w:cs="Cambria"/>
          <w:b/>
          <w:sz w:val="36"/>
        </w:rPr>
      </w:pPr>
    </w:p>
    <w:p w14:paraId="1D35E655">
      <w:pPr>
        <w:keepNext/>
        <w:keepLines/>
        <w:pageBreakBefore w:val="0"/>
        <w:widowControl w:val="0"/>
        <w:kinsoku/>
        <w:wordWrap/>
        <w:overflowPunct/>
        <w:topLinePunct w:val="0"/>
        <w:autoSpaceDE/>
        <w:autoSpaceDN/>
        <w:bidi w:val="0"/>
        <w:adjustRightInd/>
        <w:snapToGrid/>
        <w:spacing w:before="260" w:after="260" w:line="240" w:lineRule="atLeast"/>
        <w:jc w:val="center"/>
        <w:textAlignment w:val="auto"/>
        <w:rPr>
          <w:rFonts w:hint="eastAsia" w:ascii="黑体" w:hAnsi="黑体" w:eastAsia="黑体" w:cs="黑体"/>
          <w:b/>
          <w:sz w:val="44"/>
          <w:szCs w:val="44"/>
        </w:rPr>
      </w:pPr>
      <w:r>
        <w:rPr>
          <w:rFonts w:hint="eastAsia" w:ascii="黑体" w:hAnsi="黑体" w:eastAsia="黑体" w:cs="黑体"/>
          <w:b/>
          <w:sz w:val="96"/>
          <w:szCs w:val="96"/>
        </w:rPr>
        <w:t>毕业设计（论文）</w:t>
      </w:r>
    </w:p>
    <w:tbl>
      <w:tblPr>
        <w:tblStyle w:val="13"/>
        <w:tblpPr w:leftFromText="180" w:rightFromText="180" w:vertAnchor="text" w:horzAnchor="page" w:tblpX="1438" w:tblpY="884"/>
        <w:tblOverlap w:val="never"/>
        <w:tblW w:w="92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2"/>
        <w:gridCol w:w="7392"/>
      </w:tblGrid>
      <w:tr w14:paraId="087D0446">
        <w:tc>
          <w:tcPr>
            <w:tcW w:w="1842" w:type="dxa"/>
            <w:tcBorders>
              <w:top w:val="nil"/>
              <w:left w:val="nil"/>
              <w:bottom w:val="nil"/>
              <w:right w:val="nil"/>
            </w:tcBorders>
            <w:vAlign w:val="bottom"/>
          </w:tcPr>
          <w:p w14:paraId="6CFEE646">
            <w:pPr>
              <w:spacing w:after="160" w:line="278" w:lineRule="auto"/>
              <w:jc w:val="center"/>
              <w:rPr>
                <w:rFonts w:hint="eastAsia" w:asciiTheme="majorEastAsia" w:hAnsiTheme="majorEastAsia" w:eastAsiaTheme="majorEastAsia" w:cstheme="majorEastAsia"/>
                <w:color w:val="000000"/>
                <w:sz w:val="32"/>
                <w:szCs w:val="32"/>
                <w:vertAlign w:val="baseline"/>
                <w:lang w:val="en-US" w:eastAsia="zh-CN"/>
              </w:rPr>
            </w:pPr>
            <w:r>
              <w:rPr>
                <w:rFonts w:hint="eastAsia" w:asciiTheme="majorEastAsia" w:hAnsiTheme="majorEastAsia" w:eastAsiaTheme="majorEastAsia" w:cstheme="majorEastAsia"/>
                <w:color w:val="000000"/>
                <w:spacing w:val="430"/>
                <w:kern w:val="0"/>
                <w:sz w:val="32"/>
                <w:szCs w:val="32"/>
                <w:fitText w:val="1500" w:id="-1078549954"/>
                <w:vertAlign w:val="baseline"/>
                <w:lang w:val="en-US" w:eastAsia="zh-CN"/>
              </w:rPr>
              <w:t>题</w:t>
            </w:r>
            <w:r>
              <w:rPr>
                <w:rFonts w:hint="eastAsia" w:asciiTheme="majorEastAsia" w:hAnsiTheme="majorEastAsia" w:eastAsiaTheme="majorEastAsia" w:cstheme="majorEastAsia"/>
                <w:color w:val="000000"/>
                <w:spacing w:val="0"/>
                <w:kern w:val="0"/>
                <w:sz w:val="32"/>
                <w:szCs w:val="32"/>
                <w:fitText w:val="1500" w:id="-1078549954"/>
                <w:vertAlign w:val="baseline"/>
                <w:lang w:val="en-US" w:eastAsia="zh-CN"/>
              </w:rPr>
              <w:t>目</w:t>
            </w:r>
          </w:p>
        </w:tc>
        <w:tc>
          <w:tcPr>
            <w:tcW w:w="7392" w:type="dxa"/>
            <w:tcBorders>
              <w:top w:val="nil"/>
              <w:left w:val="nil"/>
              <w:bottom w:val="single" w:color="000000" w:sz="4" w:space="0"/>
              <w:right w:val="nil"/>
            </w:tcBorders>
            <w:vAlign w:val="bottom"/>
          </w:tcPr>
          <w:p w14:paraId="7B669A02">
            <w:pPr>
              <w:spacing w:after="160" w:line="278" w:lineRule="auto"/>
              <w:jc w:val="center"/>
              <w:rPr>
                <w:rFonts w:hint="eastAsia" w:asciiTheme="majorEastAsia" w:hAnsiTheme="majorEastAsia" w:eastAsiaTheme="majorEastAsia" w:cstheme="majorEastAsia"/>
                <w:color w:val="000000"/>
                <w:sz w:val="30"/>
                <w:vertAlign w:val="baseline"/>
              </w:rPr>
            </w:pPr>
            <w:r>
              <w:rPr>
                <w:rFonts w:hint="eastAsia" w:asciiTheme="majorEastAsia" w:hAnsiTheme="majorEastAsia" w:eastAsiaTheme="majorEastAsia" w:cstheme="majorEastAsia"/>
                <w:color w:val="000000"/>
                <w:sz w:val="30"/>
                <w:vertAlign w:val="baseline"/>
              </w:rPr>
              <w:t>缅甸曼德勒3.28 地震灾害后传染病应急措施分析</w:t>
            </w:r>
          </w:p>
        </w:tc>
      </w:tr>
      <w:tr w14:paraId="437F5D01">
        <w:tc>
          <w:tcPr>
            <w:tcW w:w="1842" w:type="dxa"/>
            <w:tcBorders>
              <w:top w:val="nil"/>
              <w:left w:val="nil"/>
              <w:bottom w:val="nil"/>
              <w:right w:val="nil"/>
            </w:tcBorders>
            <w:vAlign w:val="bottom"/>
          </w:tcPr>
          <w:p w14:paraId="44B66FCF">
            <w:pPr>
              <w:spacing w:after="160" w:line="278" w:lineRule="auto"/>
              <w:jc w:val="center"/>
              <w:rPr>
                <w:rFonts w:hint="eastAsia" w:asciiTheme="majorEastAsia" w:hAnsiTheme="majorEastAsia" w:eastAsiaTheme="majorEastAsia" w:cstheme="majorEastAsia"/>
                <w:color w:val="000000"/>
                <w:sz w:val="32"/>
                <w:szCs w:val="32"/>
                <w:vertAlign w:val="baseline"/>
                <w:lang w:val="en-US" w:eastAsia="zh-CN"/>
              </w:rPr>
            </w:pPr>
            <w:r>
              <w:rPr>
                <w:rFonts w:hint="eastAsia" w:asciiTheme="majorEastAsia" w:hAnsiTheme="majorEastAsia" w:eastAsiaTheme="majorEastAsia" w:cstheme="majorEastAsia"/>
                <w:color w:val="000000"/>
                <w:spacing w:val="36"/>
                <w:kern w:val="0"/>
                <w:sz w:val="32"/>
                <w:szCs w:val="32"/>
                <w:fitText w:val="1500" w:id="1943574353"/>
                <w:vertAlign w:val="baseline"/>
                <w:lang w:val="en-US" w:eastAsia="zh-CN"/>
              </w:rPr>
              <w:t>学院名</w:t>
            </w:r>
            <w:r>
              <w:rPr>
                <w:rFonts w:hint="eastAsia" w:asciiTheme="majorEastAsia" w:hAnsiTheme="majorEastAsia" w:eastAsiaTheme="majorEastAsia" w:cstheme="majorEastAsia"/>
                <w:color w:val="000000"/>
                <w:spacing w:val="2"/>
                <w:kern w:val="0"/>
                <w:sz w:val="32"/>
                <w:szCs w:val="32"/>
                <w:fitText w:val="1500" w:id="1943574353"/>
                <w:vertAlign w:val="baseline"/>
                <w:lang w:val="en-US" w:eastAsia="zh-CN"/>
              </w:rPr>
              <w:t>称</w:t>
            </w:r>
          </w:p>
        </w:tc>
        <w:tc>
          <w:tcPr>
            <w:tcW w:w="7392" w:type="dxa"/>
            <w:tcBorders>
              <w:top w:val="single" w:color="000000" w:sz="4" w:space="0"/>
              <w:left w:val="nil"/>
              <w:bottom w:val="single" w:color="000000" w:sz="4" w:space="0"/>
              <w:right w:val="nil"/>
            </w:tcBorders>
            <w:vAlign w:val="bottom"/>
          </w:tcPr>
          <w:p w14:paraId="5EA9DA25">
            <w:pPr>
              <w:spacing w:after="160" w:line="278" w:lineRule="auto"/>
              <w:jc w:val="center"/>
              <w:rPr>
                <w:rFonts w:hint="eastAsia" w:asciiTheme="majorEastAsia" w:hAnsiTheme="majorEastAsia" w:eastAsiaTheme="majorEastAsia" w:cstheme="majorEastAsia"/>
                <w:color w:val="000000"/>
                <w:sz w:val="30"/>
                <w:vertAlign w:val="baseline"/>
              </w:rPr>
            </w:pPr>
            <w:r>
              <w:rPr>
                <w:rFonts w:hint="eastAsia" w:asciiTheme="majorEastAsia" w:hAnsiTheme="majorEastAsia" w:eastAsiaTheme="majorEastAsia" w:cstheme="majorEastAsia"/>
                <w:color w:val="000000"/>
                <w:sz w:val="30"/>
                <w:vertAlign w:val="baseline"/>
              </w:rPr>
              <w:t>应急产业学院</w:t>
            </w:r>
          </w:p>
        </w:tc>
      </w:tr>
      <w:tr w14:paraId="5047AC6D">
        <w:tc>
          <w:tcPr>
            <w:tcW w:w="1842" w:type="dxa"/>
            <w:tcBorders>
              <w:top w:val="nil"/>
              <w:left w:val="nil"/>
              <w:bottom w:val="nil"/>
              <w:right w:val="nil"/>
            </w:tcBorders>
            <w:vAlign w:val="bottom"/>
          </w:tcPr>
          <w:p w14:paraId="3F41726C">
            <w:pPr>
              <w:spacing w:after="160" w:line="278" w:lineRule="auto"/>
              <w:jc w:val="center"/>
              <w:rPr>
                <w:rFonts w:hint="eastAsia" w:asciiTheme="majorEastAsia" w:hAnsiTheme="majorEastAsia" w:eastAsiaTheme="majorEastAsia" w:cstheme="majorEastAsia"/>
                <w:color w:val="000000"/>
                <w:sz w:val="32"/>
                <w:szCs w:val="32"/>
                <w:vertAlign w:val="baseline"/>
                <w:lang w:val="en-US" w:eastAsia="zh-CN"/>
              </w:rPr>
            </w:pPr>
            <w:r>
              <w:rPr>
                <w:rFonts w:hint="eastAsia" w:asciiTheme="majorEastAsia" w:hAnsiTheme="majorEastAsia" w:eastAsiaTheme="majorEastAsia" w:cstheme="majorEastAsia"/>
                <w:color w:val="000000"/>
                <w:spacing w:val="430"/>
                <w:kern w:val="0"/>
                <w:sz w:val="32"/>
                <w:szCs w:val="32"/>
                <w:fitText w:val="1500" w:id="2079274212"/>
                <w:vertAlign w:val="baseline"/>
                <w:lang w:val="en-US" w:eastAsia="zh-CN"/>
              </w:rPr>
              <w:t>专</w:t>
            </w:r>
            <w:r>
              <w:rPr>
                <w:rFonts w:hint="eastAsia" w:asciiTheme="majorEastAsia" w:hAnsiTheme="majorEastAsia" w:eastAsiaTheme="majorEastAsia" w:cstheme="majorEastAsia"/>
                <w:color w:val="000000"/>
                <w:spacing w:val="0"/>
                <w:kern w:val="0"/>
                <w:sz w:val="32"/>
                <w:szCs w:val="32"/>
                <w:fitText w:val="1500" w:id="2079274212"/>
                <w:vertAlign w:val="baseline"/>
                <w:lang w:val="en-US" w:eastAsia="zh-CN"/>
              </w:rPr>
              <w:t>业</w:t>
            </w:r>
          </w:p>
        </w:tc>
        <w:tc>
          <w:tcPr>
            <w:tcW w:w="7392" w:type="dxa"/>
            <w:tcBorders>
              <w:top w:val="single" w:color="000000" w:sz="4" w:space="0"/>
              <w:left w:val="nil"/>
              <w:bottom w:val="single" w:color="000000" w:sz="4" w:space="0"/>
              <w:right w:val="nil"/>
            </w:tcBorders>
            <w:vAlign w:val="bottom"/>
          </w:tcPr>
          <w:p w14:paraId="738C2AA4">
            <w:pPr>
              <w:spacing w:after="160" w:line="278" w:lineRule="auto"/>
              <w:jc w:val="center"/>
              <w:rPr>
                <w:rFonts w:hint="eastAsia" w:asciiTheme="majorEastAsia" w:hAnsiTheme="majorEastAsia" w:eastAsiaTheme="majorEastAsia" w:cstheme="majorEastAsia"/>
                <w:color w:val="000000"/>
                <w:sz w:val="30"/>
                <w:vertAlign w:val="baseline"/>
              </w:rPr>
            </w:pPr>
            <w:r>
              <w:rPr>
                <w:rFonts w:hint="eastAsia" w:asciiTheme="majorEastAsia" w:hAnsiTheme="majorEastAsia" w:eastAsiaTheme="majorEastAsia" w:cstheme="majorEastAsia"/>
                <w:color w:val="000000"/>
                <w:sz w:val="30"/>
                <w:vertAlign w:val="baseline"/>
              </w:rPr>
              <w:t>应急救援技术</w:t>
            </w:r>
          </w:p>
        </w:tc>
      </w:tr>
      <w:tr w14:paraId="5F922540">
        <w:tc>
          <w:tcPr>
            <w:tcW w:w="1842" w:type="dxa"/>
            <w:tcBorders>
              <w:top w:val="nil"/>
              <w:left w:val="nil"/>
              <w:bottom w:val="nil"/>
              <w:right w:val="nil"/>
            </w:tcBorders>
            <w:vAlign w:val="bottom"/>
          </w:tcPr>
          <w:p w14:paraId="67948322">
            <w:pPr>
              <w:spacing w:after="160" w:line="278" w:lineRule="auto"/>
              <w:jc w:val="center"/>
              <w:rPr>
                <w:rFonts w:hint="eastAsia" w:asciiTheme="majorEastAsia" w:hAnsiTheme="majorEastAsia" w:eastAsiaTheme="majorEastAsia" w:cstheme="majorEastAsia"/>
                <w:color w:val="000000"/>
                <w:sz w:val="32"/>
                <w:szCs w:val="32"/>
                <w:vertAlign w:val="baseline"/>
                <w:lang w:val="en-US" w:eastAsia="zh-CN"/>
              </w:rPr>
            </w:pPr>
            <w:r>
              <w:rPr>
                <w:rFonts w:hint="eastAsia" w:asciiTheme="majorEastAsia" w:hAnsiTheme="majorEastAsia" w:eastAsiaTheme="majorEastAsia" w:cstheme="majorEastAsia"/>
                <w:color w:val="000000"/>
                <w:spacing w:val="430"/>
                <w:kern w:val="0"/>
                <w:sz w:val="32"/>
                <w:szCs w:val="32"/>
                <w:fitText w:val="1500" w:id="2147376152"/>
                <w:vertAlign w:val="baseline"/>
                <w:lang w:val="en-US" w:eastAsia="zh-CN"/>
              </w:rPr>
              <w:t>班</w:t>
            </w:r>
            <w:r>
              <w:rPr>
                <w:rFonts w:hint="eastAsia" w:asciiTheme="majorEastAsia" w:hAnsiTheme="majorEastAsia" w:eastAsiaTheme="majorEastAsia" w:cstheme="majorEastAsia"/>
                <w:color w:val="000000"/>
                <w:spacing w:val="0"/>
                <w:kern w:val="0"/>
                <w:sz w:val="32"/>
                <w:szCs w:val="32"/>
                <w:fitText w:val="1500" w:id="2147376152"/>
                <w:vertAlign w:val="baseline"/>
                <w:lang w:val="en-US" w:eastAsia="zh-CN"/>
              </w:rPr>
              <w:t>级</w:t>
            </w:r>
          </w:p>
        </w:tc>
        <w:tc>
          <w:tcPr>
            <w:tcW w:w="7392" w:type="dxa"/>
            <w:tcBorders>
              <w:top w:val="single" w:color="000000" w:sz="4" w:space="0"/>
              <w:left w:val="nil"/>
              <w:bottom w:val="single" w:color="000000" w:sz="4" w:space="0"/>
              <w:right w:val="nil"/>
            </w:tcBorders>
            <w:vAlign w:val="bottom"/>
          </w:tcPr>
          <w:p w14:paraId="1D8F3E24">
            <w:pPr>
              <w:spacing w:after="160" w:line="278" w:lineRule="auto"/>
              <w:jc w:val="center"/>
              <w:rPr>
                <w:rFonts w:hint="eastAsia" w:asciiTheme="majorEastAsia" w:hAnsiTheme="majorEastAsia" w:eastAsiaTheme="majorEastAsia" w:cstheme="majorEastAsia"/>
                <w:color w:val="000000"/>
                <w:sz w:val="30"/>
                <w:vertAlign w:val="baseline"/>
              </w:rPr>
            </w:pPr>
            <w:r>
              <w:rPr>
                <w:rFonts w:hint="eastAsia" w:asciiTheme="majorEastAsia" w:hAnsiTheme="majorEastAsia" w:eastAsiaTheme="majorEastAsia" w:cstheme="majorEastAsia"/>
                <w:color w:val="000000"/>
                <w:sz w:val="30"/>
                <w:vertAlign w:val="baseline"/>
              </w:rPr>
              <w:t>22应急救援技术1班</w:t>
            </w:r>
          </w:p>
        </w:tc>
      </w:tr>
      <w:tr w14:paraId="287BDD26">
        <w:tc>
          <w:tcPr>
            <w:tcW w:w="1842" w:type="dxa"/>
            <w:tcBorders>
              <w:top w:val="nil"/>
              <w:left w:val="nil"/>
              <w:bottom w:val="nil"/>
              <w:right w:val="nil"/>
            </w:tcBorders>
            <w:vAlign w:val="bottom"/>
          </w:tcPr>
          <w:p w14:paraId="4161A0D7">
            <w:pPr>
              <w:spacing w:after="160" w:line="278" w:lineRule="auto"/>
              <w:jc w:val="center"/>
              <w:rPr>
                <w:rFonts w:hint="eastAsia" w:asciiTheme="majorEastAsia" w:hAnsiTheme="majorEastAsia" w:eastAsiaTheme="majorEastAsia" w:cstheme="majorEastAsia"/>
                <w:color w:val="000000"/>
                <w:sz w:val="32"/>
                <w:szCs w:val="32"/>
                <w:vertAlign w:val="baseline"/>
                <w:lang w:val="en-US" w:eastAsia="zh-CN"/>
              </w:rPr>
            </w:pPr>
            <w:r>
              <w:rPr>
                <w:rFonts w:hint="eastAsia" w:asciiTheme="majorEastAsia" w:hAnsiTheme="majorEastAsia" w:eastAsiaTheme="majorEastAsia" w:cstheme="majorEastAsia"/>
                <w:color w:val="000000"/>
                <w:spacing w:val="430"/>
                <w:kern w:val="0"/>
                <w:sz w:val="32"/>
                <w:szCs w:val="32"/>
                <w:fitText w:val="1500" w:id="1836519384"/>
                <w:vertAlign w:val="baseline"/>
                <w:lang w:val="en-US" w:eastAsia="zh-CN"/>
              </w:rPr>
              <w:t>姓</w:t>
            </w:r>
            <w:r>
              <w:rPr>
                <w:rFonts w:hint="eastAsia" w:asciiTheme="majorEastAsia" w:hAnsiTheme="majorEastAsia" w:eastAsiaTheme="majorEastAsia" w:cstheme="majorEastAsia"/>
                <w:color w:val="000000"/>
                <w:spacing w:val="0"/>
                <w:kern w:val="0"/>
                <w:sz w:val="32"/>
                <w:szCs w:val="32"/>
                <w:fitText w:val="1500" w:id="1836519384"/>
                <w:vertAlign w:val="baseline"/>
                <w:lang w:val="en-US" w:eastAsia="zh-CN"/>
              </w:rPr>
              <w:t>名</w:t>
            </w:r>
          </w:p>
        </w:tc>
        <w:tc>
          <w:tcPr>
            <w:tcW w:w="7392" w:type="dxa"/>
            <w:tcBorders>
              <w:top w:val="single" w:color="000000" w:sz="4" w:space="0"/>
              <w:left w:val="nil"/>
              <w:bottom w:val="single" w:color="000000" w:sz="4" w:space="0"/>
              <w:right w:val="nil"/>
            </w:tcBorders>
            <w:vAlign w:val="bottom"/>
          </w:tcPr>
          <w:p w14:paraId="0B817D2B">
            <w:pPr>
              <w:spacing w:after="160" w:line="278" w:lineRule="auto"/>
              <w:jc w:val="center"/>
              <w:rPr>
                <w:rFonts w:hint="eastAsia" w:asciiTheme="majorEastAsia" w:hAnsiTheme="majorEastAsia" w:eastAsiaTheme="majorEastAsia" w:cstheme="majorEastAsia"/>
                <w:color w:val="000000"/>
                <w:sz w:val="30"/>
                <w:vertAlign w:val="baseline"/>
              </w:rPr>
            </w:pPr>
            <w:r>
              <w:rPr>
                <w:rFonts w:hint="eastAsia" w:asciiTheme="majorEastAsia" w:hAnsiTheme="majorEastAsia" w:eastAsiaTheme="majorEastAsia" w:cstheme="majorEastAsia"/>
                <w:color w:val="000000"/>
                <w:sz w:val="30"/>
                <w:vertAlign w:val="baseline"/>
              </w:rPr>
              <w:t>贺显翔</w:t>
            </w:r>
          </w:p>
        </w:tc>
      </w:tr>
      <w:tr w14:paraId="399FDE1E">
        <w:tc>
          <w:tcPr>
            <w:tcW w:w="1842" w:type="dxa"/>
            <w:tcBorders>
              <w:top w:val="nil"/>
              <w:left w:val="nil"/>
              <w:bottom w:val="nil"/>
              <w:right w:val="nil"/>
            </w:tcBorders>
            <w:vAlign w:val="bottom"/>
          </w:tcPr>
          <w:p w14:paraId="3D95BFED">
            <w:pPr>
              <w:spacing w:after="160" w:line="278" w:lineRule="auto"/>
              <w:jc w:val="center"/>
              <w:rPr>
                <w:rFonts w:hint="eastAsia" w:asciiTheme="majorEastAsia" w:hAnsiTheme="majorEastAsia" w:eastAsiaTheme="majorEastAsia" w:cstheme="majorEastAsia"/>
                <w:color w:val="000000"/>
                <w:sz w:val="32"/>
                <w:szCs w:val="32"/>
                <w:vertAlign w:val="baseline"/>
                <w:lang w:val="en-US" w:eastAsia="zh-CN"/>
              </w:rPr>
            </w:pPr>
            <w:r>
              <w:rPr>
                <w:rFonts w:hint="eastAsia" w:asciiTheme="majorEastAsia" w:hAnsiTheme="majorEastAsia" w:eastAsiaTheme="majorEastAsia" w:cstheme="majorEastAsia"/>
                <w:color w:val="000000"/>
                <w:spacing w:val="430"/>
                <w:kern w:val="0"/>
                <w:sz w:val="32"/>
                <w:szCs w:val="32"/>
                <w:fitText w:val="1500" w:id="1536854291"/>
                <w:vertAlign w:val="baseline"/>
                <w:lang w:val="en-US" w:eastAsia="zh-CN"/>
              </w:rPr>
              <w:t>学</w:t>
            </w:r>
            <w:r>
              <w:rPr>
                <w:rFonts w:hint="eastAsia" w:asciiTheme="majorEastAsia" w:hAnsiTheme="majorEastAsia" w:eastAsiaTheme="majorEastAsia" w:cstheme="majorEastAsia"/>
                <w:color w:val="000000"/>
                <w:spacing w:val="0"/>
                <w:kern w:val="0"/>
                <w:sz w:val="32"/>
                <w:szCs w:val="32"/>
                <w:fitText w:val="1500" w:id="1536854291"/>
                <w:vertAlign w:val="baseline"/>
                <w:lang w:val="en-US" w:eastAsia="zh-CN"/>
              </w:rPr>
              <w:t>号</w:t>
            </w:r>
          </w:p>
        </w:tc>
        <w:tc>
          <w:tcPr>
            <w:tcW w:w="7392" w:type="dxa"/>
            <w:tcBorders>
              <w:top w:val="single" w:color="000000" w:sz="4" w:space="0"/>
              <w:left w:val="nil"/>
              <w:bottom w:val="single" w:color="000000" w:sz="4" w:space="0"/>
              <w:right w:val="nil"/>
            </w:tcBorders>
            <w:vAlign w:val="bottom"/>
          </w:tcPr>
          <w:p w14:paraId="3722E580">
            <w:pPr>
              <w:spacing w:after="160" w:line="278" w:lineRule="auto"/>
              <w:jc w:val="center"/>
              <w:rPr>
                <w:rFonts w:hint="eastAsia" w:asciiTheme="majorEastAsia" w:hAnsiTheme="majorEastAsia" w:eastAsiaTheme="majorEastAsia" w:cstheme="majorEastAsia"/>
                <w:color w:val="000000"/>
                <w:sz w:val="30"/>
                <w:vertAlign w:val="baseline"/>
              </w:rPr>
            </w:pPr>
            <w:r>
              <w:rPr>
                <w:rFonts w:hint="eastAsia" w:asciiTheme="majorEastAsia" w:hAnsiTheme="majorEastAsia" w:eastAsiaTheme="majorEastAsia" w:cstheme="majorEastAsia"/>
                <w:color w:val="000000"/>
                <w:sz w:val="30"/>
                <w:vertAlign w:val="baseline"/>
              </w:rPr>
              <w:t>2201280101</w:t>
            </w:r>
          </w:p>
        </w:tc>
      </w:tr>
      <w:tr w14:paraId="1EC9ACCE">
        <w:tc>
          <w:tcPr>
            <w:tcW w:w="1842" w:type="dxa"/>
            <w:tcBorders>
              <w:top w:val="nil"/>
              <w:left w:val="nil"/>
              <w:bottom w:val="nil"/>
              <w:right w:val="nil"/>
            </w:tcBorders>
            <w:vAlign w:val="bottom"/>
          </w:tcPr>
          <w:p w14:paraId="53F6EFD9">
            <w:pPr>
              <w:spacing w:after="160" w:line="278" w:lineRule="auto"/>
              <w:jc w:val="center"/>
              <w:rPr>
                <w:rFonts w:hint="eastAsia" w:asciiTheme="majorEastAsia" w:hAnsiTheme="majorEastAsia" w:eastAsiaTheme="majorEastAsia" w:cstheme="majorEastAsia"/>
                <w:color w:val="000000"/>
                <w:sz w:val="32"/>
                <w:szCs w:val="32"/>
                <w:vertAlign w:val="baseline"/>
                <w:lang w:val="en-US" w:eastAsia="zh-CN"/>
              </w:rPr>
            </w:pPr>
            <w:r>
              <w:rPr>
                <w:rFonts w:hint="eastAsia" w:asciiTheme="majorEastAsia" w:hAnsiTheme="majorEastAsia" w:eastAsiaTheme="majorEastAsia" w:cstheme="majorEastAsia"/>
                <w:color w:val="000000"/>
                <w:spacing w:val="36"/>
                <w:kern w:val="0"/>
                <w:sz w:val="32"/>
                <w:szCs w:val="32"/>
                <w:fitText w:val="1500" w:id="-682915"/>
                <w:vertAlign w:val="baseline"/>
                <w:lang w:val="en-US" w:eastAsia="zh-CN"/>
              </w:rPr>
              <w:t>指导教</w:t>
            </w:r>
            <w:r>
              <w:rPr>
                <w:rFonts w:hint="eastAsia" w:asciiTheme="majorEastAsia" w:hAnsiTheme="majorEastAsia" w:eastAsiaTheme="majorEastAsia" w:cstheme="majorEastAsia"/>
                <w:color w:val="000000"/>
                <w:spacing w:val="2"/>
                <w:kern w:val="0"/>
                <w:sz w:val="32"/>
                <w:szCs w:val="32"/>
                <w:fitText w:val="1500" w:id="-682915"/>
                <w:vertAlign w:val="baseline"/>
                <w:lang w:val="en-US" w:eastAsia="zh-CN"/>
              </w:rPr>
              <w:t>师</w:t>
            </w:r>
          </w:p>
        </w:tc>
        <w:tc>
          <w:tcPr>
            <w:tcW w:w="7392" w:type="dxa"/>
            <w:tcBorders>
              <w:top w:val="single" w:color="000000" w:sz="4" w:space="0"/>
              <w:left w:val="nil"/>
              <w:bottom w:val="single" w:color="000000" w:sz="4" w:space="0"/>
              <w:right w:val="nil"/>
            </w:tcBorders>
            <w:vAlign w:val="bottom"/>
          </w:tcPr>
          <w:p w14:paraId="63B882B2">
            <w:pPr>
              <w:spacing w:after="160" w:line="278" w:lineRule="auto"/>
              <w:jc w:val="center"/>
              <w:rPr>
                <w:rFonts w:hint="default" w:asciiTheme="majorEastAsia" w:hAnsiTheme="majorEastAsia" w:eastAsiaTheme="majorEastAsia" w:cstheme="majorEastAsia"/>
                <w:color w:val="000000"/>
                <w:sz w:val="30"/>
                <w:vertAlign w:val="baseline"/>
                <w:lang w:val="en-US" w:eastAsia="zh-CN"/>
              </w:rPr>
            </w:pPr>
            <w:r>
              <w:rPr>
                <w:rFonts w:hint="eastAsia" w:asciiTheme="majorEastAsia" w:hAnsiTheme="majorEastAsia" w:eastAsiaTheme="majorEastAsia" w:cstheme="majorEastAsia"/>
                <w:color w:val="000000"/>
                <w:sz w:val="30"/>
                <w:vertAlign w:val="baseline"/>
              </w:rPr>
              <w:t>庞素琳</w:t>
            </w:r>
            <w:r>
              <w:rPr>
                <w:rFonts w:hint="eastAsia" w:asciiTheme="majorEastAsia" w:hAnsiTheme="majorEastAsia" w:eastAsiaTheme="majorEastAsia" w:cstheme="majorEastAsia"/>
                <w:color w:val="000000"/>
                <w:sz w:val="30"/>
                <w:vertAlign w:val="baseline"/>
                <w:lang w:eastAsia="zh-CN"/>
              </w:rPr>
              <w:t>、</w:t>
            </w:r>
            <w:r>
              <w:rPr>
                <w:rFonts w:hint="eastAsia" w:asciiTheme="majorEastAsia" w:hAnsiTheme="majorEastAsia" w:eastAsiaTheme="majorEastAsia" w:cstheme="majorEastAsia"/>
                <w:color w:val="000000"/>
                <w:sz w:val="30"/>
                <w:vertAlign w:val="baseline"/>
                <w:lang w:val="en-US" w:eastAsia="zh-CN"/>
              </w:rPr>
              <w:t>钟远平</w:t>
            </w:r>
          </w:p>
        </w:tc>
      </w:tr>
      <w:tr w14:paraId="4C2A724C">
        <w:tc>
          <w:tcPr>
            <w:tcW w:w="1842" w:type="dxa"/>
            <w:tcBorders>
              <w:top w:val="nil"/>
              <w:left w:val="nil"/>
              <w:bottom w:val="nil"/>
              <w:right w:val="nil"/>
            </w:tcBorders>
            <w:vAlign w:val="bottom"/>
          </w:tcPr>
          <w:p w14:paraId="2EF4D272">
            <w:pPr>
              <w:spacing w:after="160" w:line="278" w:lineRule="auto"/>
              <w:jc w:val="center"/>
              <w:rPr>
                <w:rFonts w:hint="eastAsia" w:asciiTheme="majorEastAsia" w:hAnsiTheme="majorEastAsia" w:eastAsiaTheme="majorEastAsia" w:cstheme="majorEastAsia"/>
                <w:color w:val="000000"/>
                <w:sz w:val="32"/>
                <w:szCs w:val="32"/>
                <w:vertAlign w:val="baseline"/>
                <w:lang w:val="en-US" w:eastAsia="zh-CN"/>
              </w:rPr>
            </w:pPr>
            <w:r>
              <w:rPr>
                <w:rFonts w:hint="eastAsia" w:asciiTheme="majorEastAsia" w:hAnsiTheme="majorEastAsia" w:eastAsiaTheme="majorEastAsia" w:cstheme="majorEastAsia"/>
                <w:color w:val="000000"/>
                <w:spacing w:val="1"/>
                <w:w w:val="93"/>
                <w:kern w:val="0"/>
                <w:sz w:val="32"/>
                <w:szCs w:val="32"/>
                <w:fitText w:val="1500" w:id="-146847422"/>
                <w:vertAlign w:val="baseline"/>
                <w:lang w:val="en-US" w:eastAsia="zh-CN"/>
              </w:rPr>
              <w:t>学院负责</w:t>
            </w:r>
            <w:r>
              <w:rPr>
                <w:rFonts w:hint="eastAsia" w:asciiTheme="majorEastAsia" w:hAnsiTheme="majorEastAsia" w:eastAsiaTheme="majorEastAsia" w:cstheme="majorEastAsia"/>
                <w:color w:val="000000"/>
                <w:spacing w:val="2"/>
                <w:w w:val="93"/>
                <w:kern w:val="0"/>
                <w:sz w:val="32"/>
                <w:szCs w:val="32"/>
                <w:fitText w:val="1500" w:id="-146847422"/>
                <w:vertAlign w:val="baseline"/>
                <w:lang w:val="en-US" w:eastAsia="zh-CN"/>
              </w:rPr>
              <w:t>人</w:t>
            </w:r>
          </w:p>
        </w:tc>
        <w:tc>
          <w:tcPr>
            <w:tcW w:w="7392" w:type="dxa"/>
            <w:tcBorders>
              <w:top w:val="single" w:color="000000" w:sz="4" w:space="0"/>
              <w:left w:val="nil"/>
              <w:bottom w:val="single" w:color="000000" w:sz="4" w:space="0"/>
              <w:right w:val="nil"/>
            </w:tcBorders>
            <w:vAlign w:val="bottom"/>
          </w:tcPr>
          <w:p w14:paraId="116632B1">
            <w:pPr>
              <w:spacing w:after="160" w:line="278" w:lineRule="auto"/>
              <w:jc w:val="center"/>
              <w:rPr>
                <w:rFonts w:hint="eastAsia" w:asciiTheme="majorEastAsia" w:hAnsiTheme="majorEastAsia" w:eastAsiaTheme="majorEastAsia" w:cstheme="majorEastAsia"/>
                <w:color w:val="000000"/>
                <w:sz w:val="30"/>
                <w:vertAlign w:val="baseline"/>
              </w:rPr>
            </w:pPr>
            <w:r>
              <w:rPr>
                <w:rFonts w:hint="eastAsia" w:asciiTheme="majorEastAsia" w:hAnsiTheme="majorEastAsia" w:eastAsiaTheme="majorEastAsia" w:cstheme="majorEastAsia"/>
                <w:color w:val="000000"/>
                <w:sz w:val="30"/>
                <w:vertAlign w:val="baseline"/>
              </w:rPr>
              <w:t>庞素琳</w:t>
            </w:r>
          </w:p>
        </w:tc>
      </w:tr>
    </w:tbl>
    <w:p w14:paraId="0561061C">
      <w:pPr>
        <w:keepNext/>
        <w:keepLines/>
        <w:pageBreakBefore w:val="0"/>
        <w:widowControl w:val="0"/>
        <w:kinsoku/>
        <w:wordWrap/>
        <w:overflowPunct/>
        <w:topLinePunct w:val="0"/>
        <w:autoSpaceDE/>
        <w:autoSpaceDN/>
        <w:bidi w:val="0"/>
        <w:adjustRightInd/>
        <w:snapToGrid/>
        <w:spacing w:before="260" w:after="260" w:line="240" w:lineRule="atLeast"/>
        <w:jc w:val="center"/>
        <w:textAlignment w:val="auto"/>
        <w:rPr>
          <w:rFonts w:hint="eastAsia" w:ascii="黑体" w:hAnsi="黑体" w:eastAsia="黑体" w:cs="黑体"/>
          <w:b/>
          <w:sz w:val="44"/>
          <w:szCs w:val="44"/>
        </w:rPr>
      </w:pPr>
    </w:p>
    <w:p w14:paraId="592EA446">
      <w:pPr>
        <w:spacing w:after="160" w:line="278" w:lineRule="auto"/>
        <w:rPr>
          <w:rFonts w:hint="eastAsia" w:ascii="楷体_GB2312" w:hAnsi="楷体_GB2312" w:eastAsia="楷体_GB2312" w:cs="楷体_GB2312"/>
          <w:color w:val="000000"/>
          <w:sz w:val="30"/>
        </w:rPr>
      </w:pPr>
    </w:p>
    <w:p w14:paraId="52EBB3E4">
      <w:pPr>
        <w:spacing w:after="160" w:line="278" w:lineRule="auto"/>
        <w:jc w:val="center"/>
        <w:rPr>
          <w:rFonts w:hint="eastAsia" w:ascii="楷体_GB2312" w:hAnsi="楷体_GB2312" w:eastAsia="楷体_GB2312" w:cs="楷体_GB2312"/>
          <w:color w:val="000000"/>
          <w:sz w:val="30"/>
        </w:rPr>
      </w:pPr>
      <w:r>
        <w:rPr>
          <w:rFonts w:ascii="楷体_GB2312" w:hAnsi="楷体_GB2312" w:eastAsia="楷体_GB2312" w:cs="楷体_GB2312"/>
          <w:color w:val="000000"/>
          <w:sz w:val="30"/>
        </w:rPr>
        <w:t>2025</w:t>
      </w:r>
      <w:r>
        <w:rPr>
          <w:rFonts w:ascii="宋体" w:hAnsi="宋体" w:eastAsia="宋体" w:cs="宋体"/>
          <w:color w:val="000000"/>
          <w:sz w:val="30"/>
        </w:rPr>
        <w:t>年</w:t>
      </w:r>
      <w:r>
        <w:rPr>
          <w:rFonts w:ascii="楷体_GB2312" w:hAnsi="楷体_GB2312" w:eastAsia="楷体_GB2312" w:cs="楷体_GB2312"/>
          <w:color w:val="000000"/>
          <w:sz w:val="30"/>
        </w:rPr>
        <w:t>4</w:t>
      </w:r>
      <w:r>
        <w:rPr>
          <w:rFonts w:ascii="宋体" w:hAnsi="宋体" w:eastAsia="宋体" w:cs="宋体"/>
          <w:color w:val="000000"/>
          <w:sz w:val="30"/>
        </w:rPr>
        <w:t>月</w:t>
      </w:r>
      <w:r>
        <w:rPr>
          <w:rFonts w:ascii="楷体_GB2312" w:hAnsi="楷体_GB2312" w:eastAsia="楷体_GB2312" w:cs="楷体_GB2312"/>
          <w:color w:val="000000"/>
          <w:sz w:val="30"/>
        </w:rPr>
        <w:t xml:space="preserve"> 14</w:t>
      </w:r>
      <w:r>
        <w:rPr>
          <w:rFonts w:ascii="宋体" w:hAnsi="宋体" w:eastAsia="宋体" w:cs="宋体"/>
          <w:color w:val="000000"/>
          <w:sz w:val="30"/>
        </w:rPr>
        <w:t>日</w:t>
      </w:r>
    </w:p>
    <w:p w14:paraId="376119AE">
      <w:pPr>
        <w:spacing w:after="160" w:line="278" w:lineRule="auto"/>
        <w:jc w:val="center"/>
        <w:rPr>
          <w:rFonts w:hint="eastAsia" w:ascii="楷体_GB2312" w:hAnsi="楷体_GB2312" w:eastAsia="楷体_GB2312" w:cs="楷体_GB2312"/>
          <w:color w:val="000000"/>
          <w:sz w:val="30"/>
        </w:rPr>
      </w:pPr>
      <w:r>
        <w:rPr>
          <w:rFonts w:ascii="宋体" w:hAnsi="宋体" w:eastAsia="宋体" w:cs="宋体"/>
          <w:color w:val="000000"/>
          <w:sz w:val="30"/>
        </w:rPr>
        <w:t>教务处监制</w:t>
      </w:r>
    </w:p>
    <w:p w14:paraId="06B10672">
      <w:pPr>
        <w:spacing w:line="360" w:lineRule="auto"/>
        <w:jc w:val="left"/>
        <w:outlineLvl w:val="0"/>
        <w:rPr>
          <w:rFonts w:hint="eastAsia" w:asciiTheme="majorEastAsia" w:hAnsiTheme="majorEastAsia" w:eastAsiaTheme="majorEastAsia" w:cstheme="majorEastAsia"/>
          <w:b/>
          <w:bCs/>
          <w:sz w:val="28"/>
          <w:szCs w:val="28"/>
        </w:rPr>
      </w:pPr>
    </w:p>
    <w:p w14:paraId="5050FE62">
      <w:pPr>
        <w:jc w:val="center"/>
        <w:outlineLvl w:val="0"/>
        <w:rPr>
          <w:rFonts w:hint="eastAsia" w:ascii="黑体" w:hAnsi="黑体" w:eastAsia="黑体" w:cs="黑体"/>
          <w:sz w:val="32"/>
          <w:szCs w:val="32"/>
        </w:rPr>
      </w:pPr>
      <w:bookmarkStart w:id="0" w:name="_Toc1813326352"/>
      <w:bookmarkStart w:id="1" w:name="_Toc410037225"/>
      <w:bookmarkStart w:id="2" w:name="_Toc1145640896"/>
      <w:r>
        <w:rPr>
          <w:rFonts w:hint="eastAsia" w:ascii="黑体" w:hAnsi="黑体" w:eastAsia="黑体" w:cs="黑体"/>
          <w:sz w:val="32"/>
          <w:szCs w:val="32"/>
        </w:rPr>
        <w:t>摘  要</w:t>
      </w:r>
      <w:bookmarkEnd w:id="0"/>
      <w:bookmarkEnd w:id="1"/>
      <w:bookmarkEnd w:id="2"/>
    </w:p>
    <w:p w14:paraId="4E3BCD91">
      <w:pPr>
        <w:jc w:val="center"/>
        <w:rPr>
          <w:rFonts w:hint="eastAsia" w:ascii="Heiti SC Light" w:hAnsi="Heiti SC Light" w:eastAsia="Heiti SC Light" w:cs="Heiti SC Light"/>
          <w:sz w:val="32"/>
          <w:szCs w:val="32"/>
        </w:rPr>
      </w:pPr>
    </w:p>
    <w:p w14:paraId="674A16F4">
      <w:pPr>
        <w:ind w:firstLine="480" w:firstLineChars="200"/>
        <w:jc w:val="left"/>
        <w:rPr>
          <w:rFonts w:hint="eastAsia" w:asciiTheme="minorEastAsia" w:hAnsiTheme="minorEastAsia" w:cstheme="minorEastAsia"/>
          <w:sz w:val="24"/>
        </w:rPr>
      </w:pPr>
      <w:r>
        <w:rPr>
          <w:rFonts w:hint="eastAsia" w:asciiTheme="minorEastAsia" w:hAnsiTheme="minorEastAsia" w:cstheme="minorEastAsia"/>
          <w:sz w:val="24"/>
        </w:rPr>
        <w:t>2025年3月28日，缅甸曼德勒发生了7.9级强烈地震，造成重大人员伤亡和基础设施损毁。灾后引发了传染病危机，霍乱、登革热、疟疾等传染病</w:t>
      </w:r>
      <w:r>
        <w:rPr>
          <w:rFonts w:asciiTheme="minorEastAsia" w:hAnsiTheme="minorEastAsia" w:cstheme="minorEastAsia"/>
          <w:sz w:val="24"/>
        </w:rPr>
        <w:t>,</w:t>
      </w:r>
      <w:r>
        <w:rPr>
          <w:rFonts w:hint="eastAsia" w:asciiTheme="minorEastAsia" w:hAnsiTheme="minorEastAsia" w:cstheme="minorEastAsia"/>
          <w:sz w:val="24"/>
        </w:rPr>
        <w:t>病例激增至往年四倍，其中霍乱死亡率更是高达3.1%，这体现了灾后传染病防控的紧迫性和必要性。</w:t>
      </w:r>
    </w:p>
    <w:p w14:paraId="205F8255">
      <w:pPr>
        <w:ind w:firstLine="480" w:firstLineChars="200"/>
        <w:jc w:val="left"/>
        <w:rPr>
          <w:rFonts w:hint="eastAsia" w:asciiTheme="minorEastAsia" w:hAnsiTheme="minorEastAsia" w:cstheme="minorEastAsia"/>
          <w:sz w:val="24"/>
        </w:rPr>
      </w:pPr>
      <w:r>
        <w:rPr>
          <w:rFonts w:hint="eastAsia" w:asciiTheme="minorEastAsia" w:hAnsiTheme="minorEastAsia" w:cstheme="minorEastAsia"/>
          <w:sz w:val="24"/>
        </w:rPr>
        <w:t xml:space="preserve">本文以曼德勒3.28地震为案例，在“风险识别—机制分析—策略优化”的逻辑框架下，首先从基础设施、气候环境、医疗资源、防疫力度四个方面分析灾后传染病暴发的原因，并且展示缅甸在灾后相关的防疫应急措施，同时可以看出对于灾后防疫，缅甸还有很多可以改进的方面和细节，因此本研究也提出相应的优化建议，包括环境治理、医疗应急系统的完善、公众防疫意识提高和应急相应机制优化等方面，旨在为 发展中国家应对自然灾害引发的公共卫生危机提供理论和实践参考。  </w:t>
      </w:r>
    </w:p>
    <w:p w14:paraId="0B17BBBE">
      <w:pPr>
        <w:ind w:firstLine="480" w:firstLineChars="200"/>
        <w:jc w:val="left"/>
        <w:rPr>
          <w:rFonts w:hint="eastAsia" w:asciiTheme="minorEastAsia" w:hAnsiTheme="minorEastAsia" w:cstheme="minorEastAsia"/>
          <w:sz w:val="24"/>
        </w:rPr>
      </w:pPr>
      <w:r>
        <w:rPr>
          <w:rFonts w:hint="eastAsia" w:asciiTheme="minorEastAsia" w:hAnsiTheme="minorEastAsia" w:cstheme="minorEastAsia"/>
          <w:sz w:val="24"/>
        </w:rPr>
        <w:t xml:space="preserve">本研究对于缅甸3.28地震灾后传染病应急措施的分析，在理论意义上丰富了我国在公共卫生应急管理理论体系和灾后传染病防控上的理论研究，并且弥补相关领域的空白；对于实践意义来说，则为缅甸及国际救援组织提供了科学决策依据，从实质上降低灾后传染病的危害风险，帮助更好的控制地震后传染病的传播，加速缅甸在灾后重建的进程。  </w:t>
      </w:r>
    </w:p>
    <w:p w14:paraId="288A18BB">
      <w:pPr>
        <w:ind w:firstLine="480" w:firstLineChars="200"/>
        <w:jc w:val="left"/>
        <w:rPr>
          <w:rFonts w:hint="eastAsia" w:asciiTheme="minorEastAsia" w:hAnsiTheme="minorEastAsia" w:cstheme="minorEastAsia"/>
          <w:sz w:val="24"/>
        </w:rPr>
      </w:pPr>
    </w:p>
    <w:p w14:paraId="54E373F5">
      <w:pPr>
        <w:spacing w:line="360" w:lineRule="auto"/>
        <w:jc w:val="left"/>
        <w:rPr>
          <w:rFonts w:hint="eastAsia" w:asciiTheme="minorEastAsia" w:hAnsiTheme="minorEastAsia" w:cstheme="minorEastAsia"/>
          <w:sz w:val="24"/>
        </w:rPr>
      </w:pPr>
      <w:bookmarkStart w:id="3" w:name="_Toc1235185496"/>
      <w:r>
        <w:rPr>
          <w:rFonts w:hint="eastAsia" w:ascii="黑体" w:hAnsi="黑体" w:eastAsia="黑体" w:cs="黑体"/>
          <w:sz w:val="24"/>
        </w:rPr>
        <w:t>关键词</w:t>
      </w:r>
      <w:r>
        <w:rPr>
          <w:rFonts w:hint="eastAsia" w:asciiTheme="minorEastAsia" w:hAnsiTheme="minorEastAsia" w:cstheme="minorEastAsia"/>
          <w:sz w:val="24"/>
        </w:rPr>
        <w:t>：缅甸3.28曼德勒地震；应急救援；灾后传染病；灾后防疫；应急措施</w:t>
      </w:r>
      <w:bookmarkEnd w:id="3"/>
    </w:p>
    <w:p w14:paraId="34E4566C">
      <w:pPr>
        <w:spacing w:line="360" w:lineRule="auto"/>
        <w:jc w:val="left"/>
        <w:outlineLvl w:val="0"/>
        <w:rPr>
          <w:rFonts w:hint="eastAsia" w:asciiTheme="minorEastAsia" w:hAnsiTheme="minorEastAsia" w:cstheme="minorEastAsia"/>
          <w:sz w:val="24"/>
        </w:rPr>
      </w:pPr>
    </w:p>
    <w:p w14:paraId="36D42D99">
      <w:pPr>
        <w:widowControl/>
        <w:spacing w:line="360" w:lineRule="auto"/>
        <w:ind w:firstLine="641" w:firstLineChars="200"/>
        <w:jc w:val="center"/>
        <w:rPr>
          <w:rFonts w:ascii="Times New Roman Bold" w:hAnsi="Times New Roman Bold" w:eastAsia="PingFang SC" w:cs="Times New Roman Bold"/>
          <w:b/>
          <w:bCs/>
          <w:color w:val="2A2F45"/>
          <w:kern w:val="0"/>
          <w:sz w:val="32"/>
          <w:szCs w:val="32"/>
          <w:shd w:val="clear" w:color="auto" w:fill="FFFFFF"/>
          <w:lang w:bidi="ar"/>
        </w:rPr>
      </w:pPr>
    </w:p>
    <w:p w14:paraId="04E6218D">
      <w:pPr>
        <w:widowControl/>
        <w:spacing w:line="360" w:lineRule="auto"/>
        <w:ind w:firstLine="641" w:firstLineChars="200"/>
        <w:jc w:val="center"/>
        <w:rPr>
          <w:rFonts w:ascii="Times New Roman Bold" w:hAnsi="Times New Roman Bold" w:eastAsia="PingFang SC" w:cs="Times New Roman Bold"/>
          <w:b/>
          <w:bCs/>
          <w:color w:val="2A2F45"/>
          <w:kern w:val="0"/>
          <w:sz w:val="32"/>
          <w:szCs w:val="32"/>
          <w:shd w:val="clear" w:color="auto" w:fill="FFFFFF"/>
          <w:lang w:bidi="ar"/>
        </w:rPr>
      </w:pPr>
    </w:p>
    <w:p w14:paraId="0BA1BEF8">
      <w:pPr>
        <w:widowControl/>
        <w:spacing w:line="360" w:lineRule="auto"/>
        <w:ind w:firstLine="641" w:firstLineChars="200"/>
        <w:jc w:val="center"/>
        <w:rPr>
          <w:rFonts w:ascii="Times New Roman Bold" w:hAnsi="Times New Roman Bold" w:eastAsia="PingFang SC" w:cs="Times New Roman Bold"/>
          <w:b/>
          <w:bCs/>
          <w:color w:val="2A2F45"/>
          <w:kern w:val="0"/>
          <w:sz w:val="32"/>
          <w:szCs w:val="32"/>
          <w:shd w:val="clear" w:color="auto" w:fill="FFFFFF"/>
          <w:lang w:bidi="ar"/>
        </w:rPr>
      </w:pPr>
    </w:p>
    <w:p w14:paraId="5727F208">
      <w:pPr>
        <w:widowControl/>
        <w:spacing w:line="360" w:lineRule="auto"/>
        <w:ind w:firstLine="641" w:firstLineChars="200"/>
        <w:jc w:val="center"/>
        <w:rPr>
          <w:rFonts w:ascii="Times New Roman Bold" w:hAnsi="Times New Roman Bold" w:eastAsia="PingFang SC" w:cs="Times New Roman Bold"/>
          <w:b/>
          <w:bCs/>
          <w:color w:val="2A2F45"/>
          <w:kern w:val="0"/>
          <w:sz w:val="32"/>
          <w:szCs w:val="32"/>
          <w:shd w:val="clear" w:color="auto" w:fill="FFFFFF"/>
          <w:lang w:bidi="ar"/>
        </w:rPr>
      </w:pPr>
    </w:p>
    <w:p w14:paraId="327CF0C1">
      <w:pPr>
        <w:widowControl/>
        <w:spacing w:line="360" w:lineRule="auto"/>
        <w:ind w:firstLine="641" w:firstLineChars="200"/>
        <w:jc w:val="center"/>
        <w:rPr>
          <w:rFonts w:ascii="Times New Roman Bold" w:hAnsi="Times New Roman Bold" w:eastAsia="PingFang SC" w:cs="Times New Roman Bold"/>
          <w:b/>
          <w:bCs/>
          <w:color w:val="2A2F45"/>
          <w:kern w:val="0"/>
          <w:sz w:val="32"/>
          <w:szCs w:val="32"/>
          <w:shd w:val="clear" w:color="auto" w:fill="FFFFFF"/>
          <w:lang w:bidi="ar"/>
        </w:rPr>
      </w:pPr>
    </w:p>
    <w:p w14:paraId="7E2CD967">
      <w:pPr>
        <w:widowControl/>
        <w:spacing w:line="360" w:lineRule="auto"/>
        <w:ind w:firstLine="641" w:firstLineChars="200"/>
        <w:jc w:val="center"/>
        <w:rPr>
          <w:rFonts w:ascii="Times New Roman Bold" w:hAnsi="Times New Roman Bold" w:eastAsia="PingFang SC" w:cs="Times New Roman Bold"/>
          <w:b/>
          <w:bCs/>
          <w:color w:val="2A2F45"/>
          <w:kern w:val="0"/>
          <w:sz w:val="32"/>
          <w:szCs w:val="32"/>
          <w:shd w:val="clear" w:color="auto" w:fill="FFFFFF"/>
          <w:lang w:bidi="ar"/>
        </w:rPr>
      </w:pPr>
    </w:p>
    <w:p w14:paraId="199D3497">
      <w:pPr>
        <w:widowControl/>
        <w:spacing w:line="360" w:lineRule="auto"/>
        <w:ind w:firstLine="641" w:firstLineChars="200"/>
        <w:jc w:val="center"/>
        <w:rPr>
          <w:rFonts w:ascii="Times New Roman Bold" w:hAnsi="Times New Roman Bold" w:eastAsia="PingFang SC" w:cs="Times New Roman Bold"/>
          <w:b/>
          <w:bCs/>
          <w:color w:val="2A2F45"/>
          <w:kern w:val="0"/>
          <w:sz w:val="32"/>
          <w:szCs w:val="32"/>
          <w:shd w:val="clear" w:color="auto" w:fill="FFFFFF"/>
          <w:lang w:bidi="ar"/>
        </w:rPr>
      </w:pPr>
    </w:p>
    <w:p w14:paraId="3EF7352F">
      <w:pPr>
        <w:widowControl/>
        <w:spacing w:line="360" w:lineRule="auto"/>
        <w:ind w:firstLine="641" w:firstLineChars="200"/>
        <w:jc w:val="center"/>
        <w:rPr>
          <w:rFonts w:ascii="Times New Roman Bold" w:hAnsi="Times New Roman Bold" w:eastAsia="PingFang SC" w:cs="Times New Roman Bold"/>
          <w:b/>
          <w:bCs/>
          <w:color w:val="2A2F45"/>
          <w:kern w:val="0"/>
          <w:sz w:val="32"/>
          <w:szCs w:val="32"/>
          <w:shd w:val="clear" w:color="auto" w:fill="FFFFFF"/>
          <w:lang w:bidi="ar"/>
        </w:rPr>
      </w:pPr>
    </w:p>
    <w:p w14:paraId="2CC02BFC">
      <w:pPr>
        <w:widowControl/>
        <w:spacing w:line="360" w:lineRule="auto"/>
        <w:rPr>
          <w:rFonts w:ascii="Times New Roman Bold" w:hAnsi="Times New Roman Bold" w:eastAsia="PingFang SC" w:cs="Times New Roman Bold"/>
          <w:b/>
          <w:bCs/>
          <w:color w:val="2A2F45"/>
          <w:kern w:val="0"/>
          <w:sz w:val="32"/>
          <w:szCs w:val="32"/>
          <w:shd w:val="clear" w:color="auto" w:fill="FFFFFF"/>
          <w:lang w:bidi="ar"/>
        </w:rPr>
      </w:pPr>
    </w:p>
    <w:p w14:paraId="63642934">
      <w:pPr>
        <w:widowControl/>
        <w:spacing w:line="360" w:lineRule="auto"/>
        <w:ind w:firstLine="641" w:firstLineChars="200"/>
        <w:jc w:val="center"/>
        <w:outlineLvl w:val="0"/>
        <w:rPr>
          <w:rFonts w:ascii="Times New Roman Bold" w:hAnsi="Times New Roman Bold" w:eastAsia="PingFang SC" w:cs="Times New Roman Bold"/>
          <w:b/>
          <w:bCs/>
          <w:color w:val="2A2F45"/>
          <w:kern w:val="0"/>
          <w:sz w:val="24"/>
          <w:shd w:val="clear" w:color="auto" w:fill="FFFFFF"/>
          <w:lang w:bidi="ar"/>
        </w:rPr>
      </w:pPr>
      <w:bookmarkStart w:id="4" w:name="_Toc1635563487"/>
      <w:bookmarkStart w:id="5" w:name="_Toc220617352"/>
      <w:bookmarkStart w:id="6" w:name="_Toc448160070"/>
      <w:r>
        <w:rPr>
          <w:rFonts w:ascii="Times New Roman Bold" w:hAnsi="Times New Roman Bold" w:eastAsia="PingFang SC" w:cs="Times New Roman Bold"/>
          <w:b/>
          <w:bCs/>
          <w:color w:val="2A2F45"/>
          <w:kern w:val="0"/>
          <w:sz w:val="32"/>
          <w:szCs w:val="32"/>
          <w:shd w:val="clear" w:color="auto" w:fill="FFFFFF"/>
          <w:lang w:bidi="ar"/>
        </w:rPr>
        <w:t>Abstract</w:t>
      </w:r>
      <w:bookmarkEnd w:id="4"/>
      <w:bookmarkEnd w:id="5"/>
      <w:bookmarkEnd w:id="6"/>
    </w:p>
    <w:p w14:paraId="148D94BF">
      <w:pPr>
        <w:widowControl/>
        <w:spacing w:line="360" w:lineRule="auto"/>
        <w:ind w:firstLine="480" w:firstLineChars="200"/>
        <w:jc w:val="left"/>
        <w:rPr>
          <w:rFonts w:ascii="Times New Roman Regular" w:hAnsi="Times New Roman Regular" w:eastAsia="PingFang SC" w:cs="Times New Roman Regular"/>
          <w:color w:val="2A2F45"/>
          <w:kern w:val="0"/>
          <w:sz w:val="24"/>
          <w:shd w:val="clear" w:color="auto" w:fill="FFFFFF"/>
          <w:lang w:bidi="ar"/>
        </w:rPr>
      </w:pPr>
      <w:r>
        <w:rPr>
          <w:rFonts w:ascii="Times New Roman Regular" w:hAnsi="Times New Roman Regular" w:eastAsia="PingFang SC" w:cs="Times New Roman Regular"/>
          <w:color w:val="2A2F45"/>
          <w:kern w:val="0"/>
          <w:sz w:val="24"/>
          <w:shd w:val="clear" w:color="auto" w:fill="FFFFFF"/>
          <w:lang w:bidi="ar"/>
        </w:rPr>
        <w:t>On March 28, 2025, a powerful 7.9-magnitude earthquake struck Mandalay, Myanmar, causing significant casualties and damage to infrastructure. The disaster was followed by an outbreak of infectious diseases, with cases of cholera, dengue fever, and malaria soaring to four times the previous year's levels. The mortality rate for cholera alone reached 3.1%, highlighting the urgency and necessity of post-disaster infectious disease control.</w:t>
      </w:r>
    </w:p>
    <w:p w14:paraId="16902999">
      <w:pPr>
        <w:widowControl/>
        <w:spacing w:line="360" w:lineRule="auto"/>
        <w:ind w:firstLine="480" w:firstLineChars="200"/>
        <w:jc w:val="left"/>
        <w:rPr>
          <w:rFonts w:ascii="Times New Roman Regular" w:hAnsi="Times New Roman Regular" w:eastAsia="PingFang SC" w:cs="Times New Roman Regular"/>
          <w:color w:val="2A2F45"/>
          <w:kern w:val="0"/>
          <w:sz w:val="24"/>
          <w:shd w:val="clear" w:color="auto" w:fill="FFFFFF"/>
          <w:lang w:bidi="ar"/>
        </w:rPr>
      </w:pPr>
      <w:r>
        <w:rPr>
          <w:rFonts w:ascii="Times New Roman Regular" w:hAnsi="Times New Roman Regular" w:eastAsia="PingFang SC" w:cs="Times New Roman Regular"/>
          <w:color w:val="2A2F45"/>
          <w:kern w:val="0"/>
          <w:sz w:val="24"/>
          <w:shd w:val="clear" w:color="auto" w:fill="FFFFFF"/>
          <w:lang w:bidi="ar"/>
        </w:rPr>
        <w:t>This analysis takes the 3.28 earthquake in Mandalay as a case study and,under the logical framework of "risk identification - mechanism analysis - strategy optimization", firstly it analyzes the causes of post-disaster infectious disease outbreaks from four aspects: infrastructure, climate and environment, medical resources, and epidemic prevention efforts. It also presents Myanmar's post-disaster epidemic prevention and emergency response measures. At the same time, it can be seen that there are still many aspects and details that can be improved in post-disaster epidemic prevention in Myanmar. Therefore, this study also puts forward corresponding optimization suggestions, including environmental governance, improvement of the medical emergency system, enhancement of public epidemic prevention awareness, and optimization of the emergency response mechanism, aiming to provide theoretical and practical references for developing countries in dealing with public health crises caused by natural disasters.</w:t>
      </w:r>
    </w:p>
    <w:p w14:paraId="33988DA0">
      <w:pPr>
        <w:widowControl/>
        <w:spacing w:line="360" w:lineRule="auto"/>
        <w:ind w:firstLine="480" w:firstLineChars="200"/>
        <w:jc w:val="left"/>
        <w:rPr>
          <w:rFonts w:ascii="Times New Roman Regular" w:hAnsi="Times New Roman Regular" w:cs="Times New Roman Regular"/>
          <w:sz w:val="24"/>
        </w:rPr>
      </w:pPr>
      <w:r>
        <w:rPr>
          <w:rFonts w:ascii="Times New Roman Regular" w:hAnsi="Times New Roman Regular" w:eastAsia="PingFang SC" w:cs="Times New Roman Regular"/>
          <w:color w:val="2A2F45"/>
          <w:kern w:val="0"/>
          <w:sz w:val="24"/>
          <w:shd w:val="clear" w:color="auto" w:fill="FFFFFF"/>
          <w:lang w:bidi="ar"/>
        </w:rPr>
        <w:t>The analysis of post-disaster infectious disease emergency measures in the 3.28 earthquake in Myanmar enriches the theoretical research on China's public health emergency management theory system and post-disaster infectious disease control in a theoretical sense, and fills the gap in related fields. In terms of practical significance, it provides a scientific basis for decision-making for Myanmar and international rescue organizations, effectively reducing the risk of post-disaster infectious diseases, helping to better control the spread of infectious diseases after the earthquake, and accelerating the post-disaster reconstruction process in Myanmar.</w:t>
      </w:r>
    </w:p>
    <w:p w14:paraId="7E7E120E">
      <w:pPr>
        <w:spacing w:line="360" w:lineRule="auto"/>
        <w:jc w:val="left"/>
        <w:outlineLvl w:val="0"/>
        <w:rPr>
          <w:rFonts w:hint="eastAsia" w:asciiTheme="minorEastAsia" w:hAnsiTheme="minorEastAsia" w:cstheme="minorEastAsia"/>
          <w:sz w:val="24"/>
        </w:rPr>
      </w:pPr>
    </w:p>
    <w:p w14:paraId="4587A89C">
      <w:pPr>
        <w:spacing w:line="360" w:lineRule="auto"/>
        <w:jc w:val="left"/>
        <w:rPr>
          <w:rFonts w:ascii="Times New Roman Regular" w:hAnsi="Times New Roman Regular" w:cs="Times New Roman Regular"/>
          <w:sz w:val="24"/>
        </w:rPr>
      </w:pPr>
      <w:bookmarkStart w:id="7" w:name="_Toc38215723"/>
      <w:r>
        <w:rPr>
          <w:rFonts w:hint="eastAsia" w:asciiTheme="minorEastAsia" w:hAnsiTheme="minorEastAsia" w:cstheme="minorEastAsia"/>
          <w:b/>
          <w:bCs/>
          <w:sz w:val="24"/>
        </w:rPr>
        <w:t>Keywords</w:t>
      </w:r>
      <w:r>
        <w:rPr>
          <w:rFonts w:hint="eastAsia" w:asciiTheme="minorEastAsia" w:hAnsiTheme="minorEastAsia" w:cstheme="minorEastAsia"/>
          <w:sz w:val="24"/>
        </w:rPr>
        <w:t xml:space="preserve">: </w:t>
      </w:r>
      <w:r>
        <w:rPr>
          <w:rFonts w:ascii="Times New Roman Regular" w:hAnsi="Times New Roman Regular" w:cs="Times New Roman Regular"/>
          <w:sz w:val="24"/>
        </w:rPr>
        <w:t>3.28 Mandalay Earthquake In Myanmar; Emergency Rescue; Post-Disaster Infectious Diseases; Post-Disaster Epidemic Prevention; Emergency Measures</w:t>
      </w:r>
      <w:bookmarkEnd w:id="7"/>
    </w:p>
    <w:p w14:paraId="005C3687">
      <w:pPr>
        <w:spacing w:line="360" w:lineRule="auto"/>
        <w:jc w:val="left"/>
        <w:outlineLvl w:val="0"/>
        <w:rPr>
          <w:rFonts w:hint="eastAsia" w:asciiTheme="majorEastAsia" w:hAnsiTheme="majorEastAsia" w:eastAsiaTheme="majorEastAsia" w:cstheme="majorEastAsia"/>
          <w:b/>
          <w:bCs/>
          <w:sz w:val="28"/>
          <w:szCs w:val="28"/>
        </w:rPr>
      </w:pPr>
    </w:p>
    <w:p w14:paraId="6CA481F4">
      <w:pPr>
        <w:spacing w:line="360" w:lineRule="auto"/>
        <w:jc w:val="left"/>
        <w:outlineLvl w:val="0"/>
        <w:rPr>
          <w:rFonts w:hint="eastAsia" w:asciiTheme="majorEastAsia" w:hAnsiTheme="majorEastAsia" w:eastAsiaTheme="majorEastAsia" w:cstheme="majorEastAsia"/>
          <w:b/>
          <w:bCs/>
          <w:sz w:val="28"/>
          <w:szCs w:val="28"/>
        </w:rPr>
      </w:pPr>
    </w:p>
    <w:p w14:paraId="7E1A4E39">
      <w:pPr>
        <w:spacing w:line="360" w:lineRule="auto"/>
        <w:jc w:val="left"/>
        <w:outlineLvl w:val="0"/>
        <w:rPr>
          <w:rFonts w:hint="eastAsia" w:asciiTheme="majorEastAsia" w:hAnsiTheme="majorEastAsia" w:eastAsiaTheme="majorEastAsia" w:cstheme="majorEastAsia"/>
          <w:b/>
          <w:bCs/>
          <w:sz w:val="28"/>
          <w:szCs w:val="28"/>
        </w:rPr>
      </w:pPr>
    </w:p>
    <w:p w14:paraId="5237CE2D">
      <w:pPr>
        <w:spacing w:line="360" w:lineRule="auto"/>
        <w:jc w:val="left"/>
        <w:outlineLvl w:val="0"/>
        <w:rPr>
          <w:rFonts w:hint="eastAsia" w:asciiTheme="majorEastAsia" w:hAnsiTheme="majorEastAsia" w:eastAsiaTheme="majorEastAsia" w:cstheme="majorEastAsia"/>
          <w:b/>
          <w:bCs/>
          <w:sz w:val="28"/>
          <w:szCs w:val="28"/>
        </w:rPr>
      </w:pPr>
    </w:p>
    <w:p w14:paraId="7DF55535">
      <w:pPr>
        <w:spacing w:line="360" w:lineRule="auto"/>
        <w:jc w:val="left"/>
        <w:outlineLvl w:val="0"/>
        <w:rPr>
          <w:rFonts w:hint="eastAsia" w:asciiTheme="majorEastAsia" w:hAnsiTheme="majorEastAsia" w:eastAsiaTheme="majorEastAsia" w:cstheme="majorEastAsia"/>
          <w:b/>
          <w:bCs/>
          <w:sz w:val="28"/>
          <w:szCs w:val="28"/>
        </w:rPr>
      </w:pPr>
    </w:p>
    <w:p w14:paraId="47D2C4D2">
      <w:pPr>
        <w:spacing w:line="360" w:lineRule="auto"/>
        <w:jc w:val="left"/>
        <w:outlineLvl w:val="0"/>
        <w:rPr>
          <w:rFonts w:hint="eastAsia" w:asciiTheme="majorEastAsia" w:hAnsiTheme="majorEastAsia" w:eastAsiaTheme="majorEastAsia" w:cstheme="majorEastAsia"/>
          <w:b/>
          <w:bCs/>
          <w:sz w:val="28"/>
          <w:szCs w:val="28"/>
        </w:rPr>
      </w:pPr>
    </w:p>
    <w:p w14:paraId="7BD57BC9">
      <w:pPr>
        <w:spacing w:line="360" w:lineRule="auto"/>
        <w:jc w:val="left"/>
        <w:outlineLvl w:val="0"/>
        <w:rPr>
          <w:rFonts w:hint="eastAsia" w:asciiTheme="majorEastAsia" w:hAnsiTheme="majorEastAsia" w:eastAsiaTheme="majorEastAsia" w:cstheme="majorEastAsia"/>
          <w:b/>
          <w:bCs/>
          <w:sz w:val="28"/>
          <w:szCs w:val="28"/>
        </w:rPr>
      </w:pPr>
    </w:p>
    <w:p w14:paraId="7A2B24DF">
      <w:pPr>
        <w:pStyle w:val="9"/>
        <w:tabs>
          <w:tab w:val="right" w:leader="dot" w:pos="8306"/>
        </w:tabs>
        <w:rPr>
          <w:rFonts w:hint="eastAsia" w:ascii="黑体" w:hAnsi="黑体" w:eastAsia="黑体" w:cs="黑体"/>
          <w:b/>
          <w:bCs/>
          <w:sz w:val="32"/>
          <w:szCs w:val="32"/>
        </w:rPr>
      </w:pPr>
    </w:p>
    <w:p w14:paraId="064D96C0">
      <w:pPr>
        <w:rPr>
          <w:rFonts w:hint="eastAsia"/>
        </w:rPr>
      </w:pPr>
    </w:p>
    <w:p w14:paraId="79D5E2C5">
      <w:pPr>
        <w:rPr>
          <w:rFonts w:hint="eastAsia" w:ascii="黑体" w:hAnsi="黑体" w:eastAsia="黑体" w:cs="黑体"/>
          <w:b/>
          <w:bCs/>
          <w:sz w:val="32"/>
          <w:szCs w:val="32"/>
        </w:rPr>
      </w:pPr>
      <w:r>
        <w:rPr>
          <w:rFonts w:hint="eastAsia" w:ascii="黑体" w:hAnsi="黑体" w:eastAsia="黑体" w:cs="黑体"/>
          <w:b/>
          <w:bCs/>
          <w:sz w:val="32"/>
          <w:szCs w:val="32"/>
        </w:rPr>
        <w:br w:type="page"/>
      </w:r>
    </w:p>
    <w:p w14:paraId="64326643">
      <w:pPr>
        <w:pStyle w:val="9"/>
        <w:tabs>
          <w:tab w:val="right" w:leader="dot" w:pos="8306"/>
        </w:tabs>
        <w:jc w:val="center"/>
        <w:rPr>
          <w:rFonts w:hint="eastAsia" w:ascii="黑体" w:hAnsi="黑体" w:eastAsia="黑体" w:cs="黑体"/>
          <w:b/>
          <w:bCs/>
          <w:sz w:val="32"/>
          <w:szCs w:val="32"/>
        </w:rPr>
      </w:pPr>
      <w:r>
        <w:rPr>
          <w:rFonts w:hint="eastAsia" w:ascii="黑体" w:hAnsi="黑体" w:eastAsia="黑体" w:cs="黑体"/>
          <w:b/>
          <w:bCs/>
          <w:sz w:val="32"/>
          <w:szCs w:val="32"/>
        </w:rPr>
        <w:t>目  录</w:t>
      </w:r>
    </w:p>
    <w:p w14:paraId="7C89FDDD"/>
    <w:p w14:paraId="273C83A6">
      <w:pPr>
        <w:pStyle w:val="9"/>
        <w:tabs>
          <w:tab w:val="right" w:leader="dot" w:pos="8306"/>
        </w:tabs>
        <w:rPr>
          <w:rFonts w:hint="eastAsia" w:ascii="宋体" w:hAnsi="宋体" w:eastAsia="宋体" w:cs="宋体"/>
          <w:sz w:val="30"/>
          <w:szCs w:val="30"/>
        </w:rPr>
      </w:pPr>
      <w:r>
        <w:rPr>
          <w:rFonts w:hint="eastAsia" w:asciiTheme="majorEastAsia" w:hAnsiTheme="majorEastAsia" w:eastAsiaTheme="majorEastAsia" w:cstheme="majorEastAsia"/>
          <w:b/>
          <w:bCs/>
          <w:sz w:val="30"/>
          <w:szCs w:val="30"/>
        </w:rPr>
        <w:fldChar w:fldCharType="begin"/>
      </w:r>
      <w:r>
        <w:rPr>
          <w:rFonts w:hint="eastAsia" w:asciiTheme="majorEastAsia" w:hAnsiTheme="majorEastAsia" w:eastAsiaTheme="majorEastAsia" w:cstheme="majorEastAsia"/>
          <w:b/>
          <w:bCs/>
          <w:sz w:val="30"/>
          <w:szCs w:val="30"/>
        </w:rPr>
        <w:instrText xml:space="preserve">TOC \o "1-2" \h \u </w:instrText>
      </w:r>
      <w:r>
        <w:rPr>
          <w:rFonts w:hint="eastAsia" w:asciiTheme="majorEastAsia" w:hAnsiTheme="majorEastAsia" w:eastAsiaTheme="majorEastAsia" w:cstheme="majorEastAsia"/>
          <w:b/>
          <w:bCs/>
          <w:sz w:val="30"/>
          <w:szCs w:val="30"/>
        </w:rPr>
        <w:fldChar w:fldCharType="separate"/>
      </w:r>
      <w:r>
        <w:rPr>
          <w:rFonts w:hint="eastAsia" w:ascii="宋体" w:hAnsi="宋体" w:eastAsia="宋体" w:cs="宋体"/>
          <w:bCs/>
          <w:sz w:val="30"/>
          <w:szCs w:val="30"/>
        </w:rPr>
        <w:fldChar w:fldCharType="begin"/>
      </w:r>
      <w:r>
        <w:rPr>
          <w:rFonts w:hint="eastAsia" w:ascii="宋体" w:hAnsi="宋体" w:eastAsia="宋体" w:cs="宋体"/>
          <w:bCs/>
          <w:sz w:val="30"/>
          <w:szCs w:val="30"/>
        </w:rPr>
        <w:instrText xml:space="preserve"> HYPERLINK \l _Toc1145640896 </w:instrText>
      </w:r>
      <w:r>
        <w:rPr>
          <w:rFonts w:hint="eastAsia" w:ascii="宋体" w:hAnsi="宋体" w:eastAsia="宋体" w:cs="宋体"/>
          <w:bCs/>
          <w:sz w:val="30"/>
          <w:szCs w:val="30"/>
        </w:rPr>
        <w:fldChar w:fldCharType="separate"/>
      </w:r>
      <w:r>
        <w:rPr>
          <w:rFonts w:hint="eastAsia" w:ascii="宋体" w:hAnsi="宋体" w:eastAsia="宋体" w:cs="宋体"/>
          <w:sz w:val="30"/>
          <w:szCs w:val="30"/>
        </w:rPr>
        <w:t>摘  要</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_Toc1145640896 \h </w:instrText>
      </w:r>
      <w:r>
        <w:rPr>
          <w:rFonts w:hint="eastAsia" w:ascii="宋体" w:hAnsi="宋体" w:eastAsia="宋体" w:cs="宋体"/>
          <w:sz w:val="30"/>
          <w:szCs w:val="30"/>
        </w:rPr>
        <w:fldChar w:fldCharType="separate"/>
      </w:r>
      <w:r>
        <w:rPr>
          <w:rFonts w:hint="eastAsia" w:ascii="宋体" w:hAnsi="宋体" w:eastAsia="宋体" w:cs="宋体"/>
          <w:sz w:val="30"/>
          <w:szCs w:val="30"/>
        </w:rPr>
        <w:t>II</w:t>
      </w:r>
      <w:r>
        <w:rPr>
          <w:rFonts w:hint="eastAsia" w:ascii="宋体" w:hAnsi="宋体" w:eastAsia="宋体" w:cs="宋体"/>
          <w:sz w:val="30"/>
          <w:szCs w:val="30"/>
        </w:rPr>
        <w:fldChar w:fldCharType="end"/>
      </w:r>
      <w:r>
        <w:rPr>
          <w:rFonts w:hint="eastAsia" w:ascii="宋体" w:hAnsi="宋体" w:eastAsia="宋体" w:cs="宋体"/>
          <w:bCs/>
          <w:sz w:val="30"/>
          <w:szCs w:val="30"/>
        </w:rPr>
        <w:fldChar w:fldCharType="end"/>
      </w:r>
    </w:p>
    <w:p w14:paraId="73EDB539">
      <w:pPr>
        <w:pStyle w:val="9"/>
        <w:tabs>
          <w:tab w:val="right" w:leader="dot" w:pos="8306"/>
        </w:tabs>
        <w:rPr>
          <w:rFonts w:hint="eastAsia" w:ascii="宋体" w:hAnsi="宋体" w:eastAsia="宋体" w:cs="宋体"/>
          <w:sz w:val="30"/>
          <w:szCs w:val="30"/>
        </w:rPr>
      </w:pPr>
      <w:r>
        <w:rPr>
          <w:rFonts w:hint="eastAsia" w:ascii="宋体" w:hAnsi="宋体" w:eastAsia="宋体" w:cs="宋体"/>
          <w:bCs/>
          <w:sz w:val="30"/>
          <w:szCs w:val="30"/>
        </w:rPr>
        <w:fldChar w:fldCharType="begin"/>
      </w:r>
      <w:r>
        <w:rPr>
          <w:rFonts w:hint="eastAsia" w:ascii="宋体" w:hAnsi="宋体" w:eastAsia="宋体" w:cs="宋体"/>
          <w:bCs/>
          <w:sz w:val="30"/>
          <w:szCs w:val="30"/>
        </w:rPr>
        <w:instrText xml:space="preserve"> HYPERLINK \l _Toc448160070 </w:instrText>
      </w:r>
      <w:r>
        <w:rPr>
          <w:rFonts w:hint="eastAsia" w:ascii="宋体" w:hAnsi="宋体" w:eastAsia="宋体" w:cs="宋体"/>
          <w:bCs/>
          <w:sz w:val="30"/>
          <w:szCs w:val="30"/>
        </w:rPr>
        <w:fldChar w:fldCharType="separate"/>
      </w:r>
      <w:r>
        <w:rPr>
          <w:rFonts w:hint="eastAsia" w:ascii="宋体" w:hAnsi="宋体" w:eastAsia="宋体" w:cs="宋体"/>
          <w:bCs/>
          <w:kern w:val="0"/>
          <w:sz w:val="30"/>
          <w:szCs w:val="30"/>
          <w:shd w:val="clear" w:color="auto" w:fill="FFFFFF"/>
          <w:lang w:bidi="ar"/>
        </w:rPr>
        <w:t>Abstract</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_Toc448160070 \h </w:instrText>
      </w:r>
      <w:r>
        <w:rPr>
          <w:rFonts w:hint="eastAsia" w:ascii="宋体" w:hAnsi="宋体" w:eastAsia="宋体" w:cs="宋体"/>
          <w:sz w:val="30"/>
          <w:szCs w:val="30"/>
        </w:rPr>
        <w:fldChar w:fldCharType="separate"/>
      </w:r>
      <w:r>
        <w:rPr>
          <w:rFonts w:hint="eastAsia" w:ascii="宋体" w:hAnsi="宋体" w:eastAsia="宋体" w:cs="宋体"/>
          <w:sz w:val="30"/>
          <w:szCs w:val="30"/>
        </w:rPr>
        <w:t>III</w:t>
      </w:r>
      <w:r>
        <w:rPr>
          <w:rFonts w:hint="eastAsia" w:ascii="宋体" w:hAnsi="宋体" w:eastAsia="宋体" w:cs="宋体"/>
          <w:sz w:val="30"/>
          <w:szCs w:val="30"/>
        </w:rPr>
        <w:fldChar w:fldCharType="end"/>
      </w:r>
      <w:r>
        <w:rPr>
          <w:rFonts w:hint="eastAsia" w:ascii="宋体" w:hAnsi="宋体" w:eastAsia="宋体" w:cs="宋体"/>
          <w:bCs/>
          <w:sz w:val="30"/>
          <w:szCs w:val="30"/>
        </w:rPr>
        <w:fldChar w:fldCharType="end"/>
      </w:r>
    </w:p>
    <w:p w14:paraId="36BCC074">
      <w:pPr>
        <w:pStyle w:val="9"/>
        <w:tabs>
          <w:tab w:val="right" w:leader="dot" w:pos="8306"/>
        </w:tabs>
        <w:rPr>
          <w:rFonts w:hint="eastAsia" w:ascii="宋体" w:hAnsi="宋体" w:eastAsia="宋体" w:cs="宋体"/>
          <w:sz w:val="30"/>
          <w:szCs w:val="30"/>
        </w:rPr>
      </w:pPr>
      <w:r>
        <w:rPr>
          <w:rFonts w:hint="eastAsia" w:ascii="宋体" w:hAnsi="宋体" w:eastAsia="宋体" w:cs="宋体"/>
          <w:bCs/>
          <w:sz w:val="30"/>
          <w:szCs w:val="30"/>
        </w:rPr>
        <w:fldChar w:fldCharType="begin"/>
      </w:r>
      <w:r>
        <w:rPr>
          <w:rFonts w:hint="eastAsia" w:ascii="宋体" w:hAnsi="宋体" w:eastAsia="宋体" w:cs="宋体"/>
          <w:bCs/>
          <w:sz w:val="30"/>
          <w:szCs w:val="30"/>
        </w:rPr>
        <w:instrText xml:space="preserve"> HYPERLINK \l _Toc1001146461 </w:instrText>
      </w:r>
      <w:r>
        <w:rPr>
          <w:rFonts w:hint="eastAsia" w:ascii="宋体" w:hAnsi="宋体" w:eastAsia="宋体" w:cs="宋体"/>
          <w:bCs/>
          <w:sz w:val="30"/>
          <w:szCs w:val="30"/>
        </w:rPr>
        <w:fldChar w:fldCharType="separate"/>
      </w:r>
      <w:r>
        <w:rPr>
          <w:rFonts w:hint="eastAsia" w:ascii="宋体" w:hAnsi="宋体" w:eastAsia="宋体" w:cs="宋体"/>
          <w:bCs/>
          <w:sz w:val="30"/>
          <w:szCs w:val="30"/>
        </w:rPr>
        <w:t>第一章 绪论</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_Toc1001146461 \h </w:instrText>
      </w:r>
      <w:r>
        <w:rPr>
          <w:rFonts w:hint="eastAsia" w:ascii="宋体" w:hAnsi="宋体" w:eastAsia="宋体" w:cs="宋体"/>
          <w:sz w:val="30"/>
          <w:szCs w:val="30"/>
        </w:rPr>
        <w:fldChar w:fldCharType="separate"/>
      </w:r>
      <w:r>
        <w:rPr>
          <w:rFonts w:hint="eastAsia" w:ascii="宋体" w:hAnsi="宋体" w:eastAsia="宋体" w:cs="宋体"/>
          <w:sz w:val="30"/>
          <w:szCs w:val="30"/>
        </w:rPr>
        <w:t>1</w:t>
      </w:r>
      <w:r>
        <w:rPr>
          <w:rFonts w:hint="eastAsia" w:ascii="宋体" w:hAnsi="宋体" w:eastAsia="宋体" w:cs="宋体"/>
          <w:sz w:val="30"/>
          <w:szCs w:val="30"/>
        </w:rPr>
        <w:fldChar w:fldCharType="end"/>
      </w:r>
      <w:r>
        <w:rPr>
          <w:rFonts w:hint="eastAsia" w:ascii="宋体" w:hAnsi="宋体" w:eastAsia="宋体" w:cs="宋体"/>
          <w:bCs/>
          <w:sz w:val="30"/>
          <w:szCs w:val="30"/>
        </w:rPr>
        <w:fldChar w:fldCharType="end"/>
      </w:r>
    </w:p>
    <w:p w14:paraId="2DB75AF2">
      <w:pPr>
        <w:pStyle w:val="10"/>
        <w:tabs>
          <w:tab w:val="right" w:leader="dot" w:pos="8306"/>
        </w:tabs>
        <w:rPr>
          <w:rFonts w:hint="eastAsia" w:ascii="宋体" w:hAnsi="宋体" w:eastAsia="宋体" w:cs="宋体"/>
          <w:sz w:val="28"/>
          <w:szCs w:val="28"/>
        </w:rPr>
      </w:pPr>
      <w:r>
        <w:rPr>
          <w:rFonts w:hint="eastAsia" w:ascii="宋体" w:hAnsi="宋体" w:eastAsia="宋体" w:cs="宋体"/>
          <w:bCs/>
          <w:sz w:val="28"/>
          <w:szCs w:val="28"/>
        </w:rPr>
        <w:fldChar w:fldCharType="begin"/>
      </w:r>
      <w:r>
        <w:rPr>
          <w:rFonts w:hint="eastAsia" w:ascii="宋体" w:hAnsi="宋体" w:eastAsia="宋体" w:cs="宋体"/>
          <w:bCs/>
          <w:sz w:val="28"/>
          <w:szCs w:val="28"/>
        </w:rPr>
        <w:instrText xml:space="preserve"> HYPERLINK \l _Toc734195782 </w:instrText>
      </w:r>
      <w:r>
        <w:rPr>
          <w:rFonts w:hint="eastAsia" w:ascii="宋体" w:hAnsi="宋体" w:eastAsia="宋体" w:cs="宋体"/>
          <w:bCs/>
          <w:sz w:val="28"/>
          <w:szCs w:val="28"/>
        </w:rPr>
        <w:fldChar w:fldCharType="separate"/>
      </w:r>
      <w:r>
        <w:rPr>
          <w:rFonts w:hint="eastAsia" w:ascii="宋体" w:hAnsi="宋体" w:eastAsia="宋体" w:cs="宋体"/>
          <w:sz w:val="28"/>
          <w:szCs w:val="28"/>
        </w:rPr>
        <w:t>1.1 研究背景</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_Toc734195782 \h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bCs/>
          <w:sz w:val="28"/>
          <w:szCs w:val="28"/>
        </w:rPr>
        <w:fldChar w:fldCharType="end"/>
      </w:r>
    </w:p>
    <w:p w14:paraId="62F45579">
      <w:pPr>
        <w:pStyle w:val="10"/>
        <w:tabs>
          <w:tab w:val="right" w:leader="dot" w:pos="8306"/>
        </w:tabs>
        <w:rPr>
          <w:rFonts w:hint="eastAsia" w:ascii="宋体" w:hAnsi="宋体" w:eastAsia="宋体" w:cs="宋体"/>
          <w:sz w:val="28"/>
          <w:szCs w:val="28"/>
        </w:rPr>
      </w:pPr>
      <w:r>
        <w:rPr>
          <w:rFonts w:hint="eastAsia" w:ascii="宋体" w:hAnsi="宋体" w:eastAsia="宋体" w:cs="宋体"/>
          <w:bCs/>
          <w:sz w:val="28"/>
          <w:szCs w:val="28"/>
        </w:rPr>
        <w:fldChar w:fldCharType="begin"/>
      </w:r>
      <w:r>
        <w:rPr>
          <w:rFonts w:hint="eastAsia" w:ascii="宋体" w:hAnsi="宋体" w:eastAsia="宋体" w:cs="宋体"/>
          <w:bCs/>
          <w:sz w:val="28"/>
          <w:szCs w:val="28"/>
        </w:rPr>
        <w:instrText xml:space="preserve"> HYPERLINK \l _Toc187472412 </w:instrText>
      </w:r>
      <w:r>
        <w:rPr>
          <w:rFonts w:hint="eastAsia" w:ascii="宋体" w:hAnsi="宋体" w:eastAsia="宋体" w:cs="宋体"/>
          <w:bCs/>
          <w:sz w:val="28"/>
          <w:szCs w:val="28"/>
        </w:rPr>
        <w:fldChar w:fldCharType="separate"/>
      </w:r>
      <w:r>
        <w:rPr>
          <w:rFonts w:hint="eastAsia" w:ascii="宋体" w:hAnsi="宋体" w:eastAsia="宋体" w:cs="宋体"/>
          <w:sz w:val="28"/>
          <w:szCs w:val="28"/>
        </w:rPr>
        <w:t>1.2研究目的与意义</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_Toc187472412 \h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bCs/>
          <w:sz w:val="28"/>
          <w:szCs w:val="28"/>
        </w:rPr>
        <w:fldChar w:fldCharType="end"/>
      </w:r>
    </w:p>
    <w:p w14:paraId="212BE208">
      <w:pPr>
        <w:pStyle w:val="10"/>
        <w:tabs>
          <w:tab w:val="right" w:leader="dot" w:pos="8306"/>
        </w:tabs>
        <w:rPr>
          <w:rFonts w:hint="eastAsia" w:ascii="宋体" w:hAnsi="宋体" w:eastAsia="宋体" w:cs="宋体"/>
          <w:sz w:val="28"/>
          <w:szCs w:val="28"/>
        </w:rPr>
      </w:pPr>
      <w:r>
        <w:rPr>
          <w:rFonts w:hint="eastAsia" w:ascii="宋体" w:hAnsi="宋体" w:eastAsia="宋体" w:cs="宋体"/>
          <w:bCs/>
          <w:sz w:val="28"/>
          <w:szCs w:val="28"/>
        </w:rPr>
        <w:fldChar w:fldCharType="begin"/>
      </w:r>
      <w:r>
        <w:rPr>
          <w:rFonts w:hint="eastAsia" w:ascii="宋体" w:hAnsi="宋体" w:eastAsia="宋体" w:cs="宋体"/>
          <w:bCs/>
          <w:sz w:val="28"/>
          <w:szCs w:val="28"/>
        </w:rPr>
        <w:instrText xml:space="preserve"> HYPERLINK \l _Toc490318335 </w:instrText>
      </w:r>
      <w:r>
        <w:rPr>
          <w:rFonts w:hint="eastAsia" w:ascii="宋体" w:hAnsi="宋体" w:eastAsia="宋体" w:cs="宋体"/>
          <w:bCs/>
          <w:sz w:val="28"/>
          <w:szCs w:val="28"/>
        </w:rPr>
        <w:fldChar w:fldCharType="separate"/>
      </w:r>
      <w:r>
        <w:rPr>
          <w:rFonts w:hint="eastAsia" w:ascii="宋体" w:hAnsi="宋体" w:eastAsia="宋体" w:cs="宋体"/>
          <w:sz w:val="28"/>
          <w:szCs w:val="28"/>
        </w:rPr>
        <w:t>1.3研究思路与技术路线</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_Toc490318335 \h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bCs/>
          <w:sz w:val="28"/>
          <w:szCs w:val="28"/>
        </w:rPr>
        <w:fldChar w:fldCharType="end"/>
      </w:r>
    </w:p>
    <w:p w14:paraId="2C025222">
      <w:pPr>
        <w:pStyle w:val="10"/>
        <w:tabs>
          <w:tab w:val="right" w:leader="dot" w:pos="8306"/>
        </w:tabs>
        <w:rPr>
          <w:rFonts w:hint="eastAsia" w:ascii="宋体" w:hAnsi="宋体" w:eastAsia="宋体" w:cs="宋体"/>
          <w:sz w:val="28"/>
          <w:szCs w:val="28"/>
        </w:rPr>
      </w:pPr>
      <w:r>
        <w:rPr>
          <w:rFonts w:hint="eastAsia" w:ascii="宋体" w:hAnsi="宋体" w:eastAsia="宋体" w:cs="宋体"/>
          <w:bCs/>
          <w:sz w:val="28"/>
          <w:szCs w:val="28"/>
        </w:rPr>
        <w:fldChar w:fldCharType="begin"/>
      </w:r>
      <w:r>
        <w:rPr>
          <w:rFonts w:hint="eastAsia" w:ascii="宋体" w:hAnsi="宋体" w:eastAsia="宋体" w:cs="宋体"/>
          <w:bCs/>
          <w:sz w:val="28"/>
          <w:szCs w:val="28"/>
        </w:rPr>
        <w:instrText xml:space="preserve"> HYPERLINK \l _Toc885502806 </w:instrText>
      </w:r>
      <w:r>
        <w:rPr>
          <w:rFonts w:hint="eastAsia" w:ascii="宋体" w:hAnsi="宋体" w:eastAsia="宋体" w:cs="宋体"/>
          <w:bCs/>
          <w:sz w:val="28"/>
          <w:szCs w:val="28"/>
        </w:rPr>
        <w:fldChar w:fldCharType="separate"/>
      </w:r>
      <w:r>
        <w:rPr>
          <w:rFonts w:hint="eastAsia" w:ascii="宋体" w:hAnsi="宋体" w:eastAsia="宋体" w:cs="宋体"/>
          <w:sz w:val="28"/>
          <w:szCs w:val="28"/>
        </w:rPr>
        <w:t>1.4国内外研究现状</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_Toc885502806 \h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bCs/>
          <w:sz w:val="28"/>
          <w:szCs w:val="28"/>
        </w:rPr>
        <w:fldChar w:fldCharType="end"/>
      </w:r>
    </w:p>
    <w:p w14:paraId="5904FA0F">
      <w:pPr>
        <w:pStyle w:val="9"/>
        <w:tabs>
          <w:tab w:val="right" w:leader="dot" w:pos="8306"/>
        </w:tabs>
        <w:rPr>
          <w:rFonts w:hint="eastAsia" w:ascii="宋体" w:hAnsi="宋体" w:eastAsia="宋体" w:cs="宋体"/>
          <w:sz w:val="30"/>
          <w:szCs w:val="30"/>
        </w:rPr>
      </w:pPr>
      <w:r>
        <w:rPr>
          <w:rFonts w:hint="eastAsia" w:ascii="宋体" w:hAnsi="宋体" w:eastAsia="宋体" w:cs="宋体"/>
          <w:bCs/>
          <w:sz w:val="30"/>
          <w:szCs w:val="30"/>
        </w:rPr>
        <w:fldChar w:fldCharType="begin"/>
      </w:r>
      <w:r>
        <w:rPr>
          <w:rFonts w:hint="eastAsia" w:ascii="宋体" w:hAnsi="宋体" w:eastAsia="宋体" w:cs="宋体"/>
          <w:bCs/>
          <w:sz w:val="30"/>
          <w:szCs w:val="30"/>
        </w:rPr>
        <w:instrText xml:space="preserve"> HYPERLINK \l _Toc583986732 </w:instrText>
      </w:r>
      <w:r>
        <w:rPr>
          <w:rFonts w:hint="eastAsia" w:ascii="宋体" w:hAnsi="宋体" w:eastAsia="宋体" w:cs="宋体"/>
          <w:bCs/>
          <w:sz w:val="30"/>
          <w:szCs w:val="30"/>
        </w:rPr>
        <w:fldChar w:fldCharType="separate"/>
      </w:r>
      <w:r>
        <w:rPr>
          <w:rFonts w:hint="eastAsia" w:ascii="宋体" w:hAnsi="宋体" w:eastAsia="宋体" w:cs="宋体"/>
          <w:bCs/>
          <w:sz w:val="30"/>
          <w:szCs w:val="30"/>
        </w:rPr>
        <w:t>第二章 相关概念及理论基础</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_Toc583986732 \h </w:instrText>
      </w:r>
      <w:r>
        <w:rPr>
          <w:rFonts w:hint="eastAsia" w:ascii="宋体" w:hAnsi="宋体" w:eastAsia="宋体" w:cs="宋体"/>
          <w:sz w:val="30"/>
          <w:szCs w:val="30"/>
        </w:rPr>
        <w:fldChar w:fldCharType="separate"/>
      </w:r>
      <w:r>
        <w:rPr>
          <w:rFonts w:hint="eastAsia" w:ascii="宋体" w:hAnsi="宋体" w:eastAsia="宋体" w:cs="宋体"/>
          <w:sz w:val="30"/>
          <w:szCs w:val="30"/>
        </w:rPr>
        <w:t>4</w:t>
      </w:r>
      <w:r>
        <w:rPr>
          <w:rFonts w:hint="eastAsia" w:ascii="宋体" w:hAnsi="宋体" w:eastAsia="宋体" w:cs="宋体"/>
          <w:sz w:val="30"/>
          <w:szCs w:val="30"/>
        </w:rPr>
        <w:fldChar w:fldCharType="end"/>
      </w:r>
      <w:r>
        <w:rPr>
          <w:rFonts w:hint="eastAsia" w:ascii="宋体" w:hAnsi="宋体" w:eastAsia="宋体" w:cs="宋体"/>
          <w:bCs/>
          <w:sz w:val="30"/>
          <w:szCs w:val="30"/>
        </w:rPr>
        <w:fldChar w:fldCharType="end"/>
      </w:r>
    </w:p>
    <w:p w14:paraId="432D9B69">
      <w:pPr>
        <w:pStyle w:val="10"/>
        <w:tabs>
          <w:tab w:val="right" w:leader="dot" w:pos="8306"/>
        </w:tabs>
        <w:rPr>
          <w:rFonts w:hint="eastAsia" w:ascii="宋体" w:hAnsi="宋体" w:eastAsia="宋体" w:cs="宋体"/>
          <w:sz w:val="28"/>
          <w:szCs w:val="28"/>
        </w:rPr>
      </w:pPr>
      <w:r>
        <w:rPr>
          <w:rFonts w:hint="eastAsia" w:ascii="宋体" w:hAnsi="宋体" w:eastAsia="宋体" w:cs="宋体"/>
          <w:bCs/>
          <w:sz w:val="28"/>
          <w:szCs w:val="28"/>
        </w:rPr>
        <w:fldChar w:fldCharType="begin"/>
      </w:r>
      <w:r>
        <w:rPr>
          <w:rFonts w:hint="eastAsia" w:ascii="宋体" w:hAnsi="宋体" w:eastAsia="宋体" w:cs="宋体"/>
          <w:bCs/>
          <w:sz w:val="28"/>
          <w:szCs w:val="28"/>
        </w:rPr>
        <w:instrText xml:space="preserve"> HYPERLINK \l _Toc1064737934 </w:instrText>
      </w:r>
      <w:r>
        <w:rPr>
          <w:rFonts w:hint="eastAsia" w:ascii="宋体" w:hAnsi="宋体" w:eastAsia="宋体" w:cs="宋体"/>
          <w:bCs/>
          <w:sz w:val="28"/>
          <w:szCs w:val="28"/>
        </w:rPr>
        <w:fldChar w:fldCharType="separate"/>
      </w:r>
      <w:r>
        <w:rPr>
          <w:rFonts w:hint="eastAsia" w:ascii="宋体" w:hAnsi="宋体" w:eastAsia="宋体" w:cs="宋体"/>
          <w:sz w:val="28"/>
          <w:szCs w:val="28"/>
        </w:rPr>
        <w:t>2.1相关概念界定</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_Toc1064737934 \h </w:instrText>
      </w:r>
      <w:r>
        <w:rPr>
          <w:rFonts w:hint="eastAsia" w:ascii="宋体" w:hAnsi="宋体" w:eastAsia="宋体" w:cs="宋体"/>
          <w:sz w:val="28"/>
          <w:szCs w:val="28"/>
        </w:rPr>
        <w:fldChar w:fldCharType="separate"/>
      </w:r>
      <w:r>
        <w:rPr>
          <w:rFonts w:hint="eastAsia" w:ascii="宋体" w:hAnsi="宋体" w:eastAsia="宋体" w:cs="宋体"/>
          <w:sz w:val="28"/>
          <w:szCs w:val="28"/>
        </w:rPr>
        <w:t>4</w:t>
      </w:r>
      <w:r>
        <w:rPr>
          <w:rFonts w:hint="eastAsia" w:ascii="宋体" w:hAnsi="宋体" w:eastAsia="宋体" w:cs="宋体"/>
          <w:sz w:val="28"/>
          <w:szCs w:val="28"/>
        </w:rPr>
        <w:fldChar w:fldCharType="end"/>
      </w:r>
      <w:r>
        <w:rPr>
          <w:rFonts w:hint="eastAsia" w:ascii="宋体" w:hAnsi="宋体" w:eastAsia="宋体" w:cs="宋体"/>
          <w:bCs/>
          <w:sz w:val="28"/>
          <w:szCs w:val="28"/>
        </w:rPr>
        <w:fldChar w:fldCharType="end"/>
      </w:r>
    </w:p>
    <w:p w14:paraId="1D62549B">
      <w:pPr>
        <w:pStyle w:val="10"/>
        <w:tabs>
          <w:tab w:val="right" w:leader="dot" w:pos="8306"/>
        </w:tabs>
        <w:rPr>
          <w:rFonts w:hint="eastAsia" w:ascii="宋体" w:hAnsi="宋体" w:eastAsia="宋体" w:cs="宋体"/>
          <w:sz w:val="28"/>
          <w:szCs w:val="28"/>
        </w:rPr>
      </w:pPr>
      <w:r>
        <w:rPr>
          <w:rFonts w:hint="eastAsia" w:ascii="宋体" w:hAnsi="宋体" w:eastAsia="宋体" w:cs="宋体"/>
          <w:bCs/>
          <w:sz w:val="28"/>
          <w:szCs w:val="28"/>
        </w:rPr>
        <w:fldChar w:fldCharType="begin"/>
      </w:r>
      <w:r>
        <w:rPr>
          <w:rFonts w:hint="eastAsia" w:ascii="宋体" w:hAnsi="宋体" w:eastAsia="宋体" w:cs="宋体"/>
          <w:bCs/>
          <w:sz w:val="28"/>
          <w:szCs w:val="28"/>
        </w:rPr>
        <w:instrText xml:space="preserve"> HYPERLINK \l _Toc69226287 </w:instrText>
      </w:r>
      <w:r>
        <w:rPr>
          <w:rFonts w:hint="eastAsia" w:ascii="宋体" w:hAnsi="宋体" w:eastAsia="宋体" w:cs="宋体"/>
          <w:bCs/>
          <w:sz w:val="28"/>
          <w:szCs w:val="28"/>
        </w:rPr>
        <w:fldChar w:fldCharType="separate"/>
      </w:r>
      <w:r>
        <w:rPr>
          <w:rFonts w:hint="eastAsia" w:ascii="宋体" w:hAnsi="宋体" w:eastAsia="宋体" w:cs="宋体"/>
          <w:sz w:val="28"/>
          <w:szCs w:val="28"/>
        </w:rPr>
        <w:t>2.2主要理论</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_Toc69226287 \h </w:instrText>
      </w:r>
      <w:r>
        <w:rPr>
          <w:rFonts w:hint="eastAsia" w:ascii="宋体" w:hAnsi="宋体" w:eastAsia="宋体" w:cs="宋体"/>
          <w:sz w:val="28"/>
          <w:szCs w:val="28"/>
        </w:rPr>
        <w:fldChar w:fldCharType="separate"/>
      </w:r>
      <w:r>
        <w:rPr>
          <w:rFonts w:hint="eastAsia" w:ascii="宋体" w:hAnsi="宋体" w:eastAsia="宋体" w:cs="宋体"/>
          <w:sz w:val="28"/>
          <w:szCs w:val="28"/>
        </w:rPr>
        <w:t>4</w:t>
      </w:r>
      <w:r>
        <w:rPr>
          <w:rFonts w:hint="eastAsia" w:ascii="宋体" w:hAnsi="宋体" w:eastAsia="宋体" w:cs="宋体"/>
          <w:sz w:val="28"/>
          <w:szCs w:val="28"/>
        </w:rPr>
        <w:fldChar w:fldCharType="end"/>
      </w:r>
      <w:r>
        <w:rPr>
          <w:rFonts w:hint="eastAsia" w:ascii="宋体" w:hAnsi="宋体" w:eastAsia="宋体" w:cs="宋体"/>
          <w:bCs/>
          <w:sz w:val="28"/>
          <w:szCs w:val="28"/>
        </w:rPr>
        <w:fldChar w:fldCharType="end"/>
      </w:r>
    </w:p>
    <w:p w14:paraId="0D82D866">
      <w:pPr>
        <w:pStyle w:val="9"/>
        <w:tabs>
          <w:tab w:val="right" w:leader="dot" w:pos="8306"/>
        </w:tabs>
        <w:rPr>
          <w:rFonts w:hint="eastAsia" w:ascii="宋体" w:hAnsi="宋体" w:eastAsia="宋体" w:cs="宋体"/>
          <w:sz w:val="30"/>
          <w:szCs w:val="30"/>
        </w:rPr>
      </w:pPr>
      <w:r>
        <w:rPr>
          <w:rFonts w:hint="eastAsia" w:ascii="宋体" w:hAnsi="宋体" w:eastAsia="宋体" w:cs="宋体"/>
          <w:bCs/>
          <w:sz w:val="30"/>
          <w:szCs w:val="30"/>
        </w:rPr>
        <w:fldChar w:fldCharType="begin"/>
      </w:r>
      <w:r>
        <w:rPr>
          <w:rFonts w:hint="eastAsia" w:ascii="宋体" w:hAnsi="宋体" w:eastAsia="宋体" w:cs="宋体"/>
          <w:bCs/>
          <w:sz w:val="30"/>
          <w:szCs w:val="30"/>
        </w:rPr>
        <w:instrText xml:space="preserve"> HYPERLINK \l _Toc1697552582 </w:instrText>
      </w:r>
      <w:r>
        <w:rPr>
          <w:rFonts w:hint="eastAsia" w:ascii="宋体" w:hAnsi="宋体" w:eastAsia="宋体" w:cs="宋体"/>
          <w:bCs/>
          <w:sz w:val="30"/>
          <w:szCs w:val="30"/>
        </w:rPr>
        <w:fldChar w:fldCharType="separate"/>
      </w:r>
      <w:r>
        <w:rPr>
          <w:rFonts w:hint="eastAsia" w:ascii="宋体" w:hAnsi="宋体" w:eastAsia="宋体" w:cs="宋体"/>
          <w:bCs/>
          <w:sz w:val="30"/>
          <w:szCs w:val="30"/>
        </w:rPr>
        <w:t>第三章 缅甸曼德勒“3.28”地震概述</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_Toc1697552582 \h </w:instrText>
      </w:r>
      <w:r>
        <w:rPr>
          <w:rFonts w:hint="eastAsia" w:ascii="宋体" w:hAnsi="宋体" w:eastAsia="宋体" w:cs="宋体"/>
          <w:sz w:val="30"/>
          <w:szCs w:val="30"/>
        </w:rPr>
        <w:fldChar w:fldCharType="separate"/>
      </w:r>
      <w:r>
        <w:rPr>
          <w:rFonts w:hint="eastAsia" w:ascii="宋体" w:hAnsi="宋体" w:eastAsia="宋体" w:cs="宋体"/>
          <w:sz w:val="30"/>
          <w:szCs w:val="30"/>
        </w:rPr>
        <w:t>6</w:t>
      </w:r>
      <w:r>
        <w:rPr>
          <w:rFonts w:hint="eastAsia" w:ascii="宋体" w:hAnsi="宋体" w:eastAsia="宋体" w:cs="宋体"/>
          <w:sz w:val="30"/>
          <w:szCs w:val="30"/>
        </w:rPr>
        <w:fldChar w:fldCharType="end"/>
      </w:r>
      <w:r>
        <w:rPr>
          <w:rFonts w:hint="eastAsia" w:ascii="宋体" w:hAnsi="宋体" w:eastAsia="宋体" w:cs="宋体"/>
          <w:bCs/>
          <w:sz w:val="30"/>
          <w:szCs w:val="30"/>
        </w:rPr>
        <w:fldChar w:fldCharType="end"/>
      </w:r>
    </w:p>
    <w:p w14:paraId="5BB37884">
      <w:pPr>
        <w:pStyle w:val="10"/>
        <w:tabs>
          <w:tab w:val="right" w:leader="dot" w:pos="8306"/>
        </w:tabs>
        <w:rPr>
          <w:rFonts w:hint="eastAsia" w:ascii="宋体" w:hAnsi="宋体" w:eastAsia="宋体" w:cs="宋体"/>
          <w:sz w:val="28"/>
          <w:szCs w:val="28"/>
        </w:rPr>
      </w:pPr>
      <w:r>
        <w:rPr>
          <w:rFonts w:hint="eastAsia" w:ascii="宋体" w:hAnsi="宋体" w:eastAsia="宋体" w:cs="宋体"/>
          <w:bCs/>
          <w:sz w:val="28"/>
          <w:szCs w:val="28"/>
        </w:rPr>
        <w:fldChar w:fldCharType="begin"/>
      </w:r>
      <w:r>
        <w:rPr>
          <w:rFonts w:hint="eastAsia" w:ascii="宋体" w:hAnsi="宋体" w:eastAsia="宋体" w:cs="宋体"/>
          <w:bCs/>
          <w:sz w:val="28"/>
          <w:szCs w:val="28"/>
        </w:rPr>
        <w:instrText xml:space="preserve"> HYPERLINK \l _Toc1445995279 </w:instrText>
      </w:r>
      <w:r>
        <w:rPr>
          <w:rFonts w:hint="eastAsia" w:ascii="宋体" w:hAnsi="宋体" w:eastAsia="宋体" w:cs="宋体"/>
          <w:bCs/>
          <w:sz w:val="28"/>
          <w:szCs w:val="28"/>
        </w:rPr>
        <w:fldChar w:fldCharType="separate"/>
      </w:r>
      <w:r>
        <w:rPr>
          <w:rFonts w:hint="eastAsia" w:ascii="宋体" w:hAnsi="宋体" w:eastAsia="宋体" w:cs="宋体"/>
          <w:sz w:val="28"/>
          <w:szCs w:val="28"/>
        </w:rPr>
        <w:t>3.1缅甸曼德勒3.28地震概述</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_Toc1445995279 \h </w:instrText>
      </w:r>
      <w:r>
        <w:rPr>
          <w:rFonts w:hint="eastAsia" w:ascii="宋体" w:hAnsi="宋体" w:eastAsia="宋体" w:cs="宋体"/>
          <w:sz w:val="28"/>
          <w:szCs w:val="28"/>
        </w:rPr>
        <w:fldChar w:fldCharType="separate"/>
      </w:r>
      <w:r>
        <w:rPr>
          <w:rFonts w:hint="eastAsia" w:ascii="宋体" w:hAnsi="宋体" w:eastAsia="宋体" w:cs="宋体"/>
          <w:sz w:val="28"/>
          <w:szCs w:val="28"/>
        </w:rPr>
        <w:t>6</w:t>
      </w:r>
      <w:r>
        <w:rPr>
          <w:rFonts w:hint="eastAsia" w:ascii="宋体" w:hAnsi="宋体" w:eastAsia="宋体" w:cs="宋体"/>
          <w:sz w:val="28"/>
          <w:szCs w:val="28"/>
        </w:rPr>
        <w:fldChar w:fldCharType="end"/>
      </w:r>
      <w:r>
        <w:rPr>
          <w:rFonts w:hint="eastAsia" w:ascii="宋体" w:hAnsi="宋体" w:eastAsia="宋体" w:cs="宋体"/>
          <w:bCs/>
          <w:sz w:val="28"/>
          <w:szCs w:val="28"/>
        </w:rPr>
        <w:fldChar w:fldCharType="end"/>
      </w:r>
    </w:p>
    <w:p w14:paraId="552BFE57">
      <w:pPr>
        <w:pStyle w:val="10"/>
        <w:tabs>
          <w:tab w:val="right" w:leader="dot" w:pos="8306"/>
        </w:tabs>
        <w:rPr>
          <w:rFonts w:hint="eastAsia" w:ascii="宋体" w:hAnsi="宋体" w:eastAsia="宋体" w:cs="宋体"/>
          <w:sz w:val="28"/>
          <w:szCs w:val="28"/>
        </w:rPr>
      </w:pPr>
      <w:r>
        <w:rPr>
          <w:rFonts w:hint="eastAsia" w:ascii="宋体" w:hAnsi="宋体" w:eastAsia="宋体" w:cs="宋体"/>
          <w:bCs/>
          <w:sz w:val="28"/>
          <w:szCs w:val="28"/>
        </w:rPr>
        <w:fldChar w:fldCharType="begin"/>
      </w:r>
      <w:r>
        <w:rPr>
          <w:rFonts w:hint="eastAsia" w:ascii="宋体" w:hAnsi="宋体" w:eastAsia="宋体" w:cs="宋体"/>
          <w:bCs/>
          <w:sz w:val="28"/>
          <w:szCs w:val="28"/>
        </w:rPr>
        <w:instrText xml:space="preserve"> HYPERLINK \l _Toc1917704701 </w:instrText>
      </w:r>
      <w:r>
        <w:rPr>
          <w:rFonts w:hint="eastAsia" w:ascii="宋体" w:hAnsi="宋体" w:eastAsia="宋体" w:cs="宋体"/>
          <w:bCs/>
          <w:sz w:val="28"/>
          <w:szCs w:val="28"/>
        </w:rPr>
        <w:fldChar w:fldCharType="separate"/>
      </w:r>
      <w:r>
        <w:rPr>
          <w:rFonts w:hint="eastAsia" w:ascii="宋体" w:hAnsi="宋体" w:eastAsia="宋体" w:cs="宋体"/>
          <w:sz w:val="28"/>
          <w:szCs w:val="28"/>
        </w:rPr>
        <w:t>3.2.基础设施遭受损坏</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_Toc1917704701 \h </w:instrText>
      </w:r>
      <w:r>
        <w:rPr>
          <w:rFonts w:hint="eastAsia" w:ascii="宋体" w:hAnsi="宋体" w:eastAsia="宋体" w:cs="宋体"/>
          <w:sz w:val="28"/>
          <w:szCs w:val="28"/>
        </w:rPr>
        <w:fldChar w:fldCharType="separate"/>
      </w:r>
      <w:r>
        <w:rPr>
          <w:rFonts w:hint="eastAsia" w:ascii="宋体" w:hAnsi="宋体" w:eastAsia="宋体" w:cs="宋体"/>
          <w:sz w:val="28"/>
          <w:szCs w:val="28"/>
        </w:rPr>
        <w:t>7</w:t>
      </w:r>
      <w:r>
        <w:rPr>
          <w:rFonts w:hint="eastAsia" w:ascii="宋体" w:hAnsi="宋体" w:eastAsia="宋体" w:cs="宋体"/>
          <w:sz w:val="28"/>
          <w:szCs w:val="28"/>
        </w:rPr>
        <w:fldChar w:fldCharType="end"/>
      </w:r>
      <w:r>
        <w:rPr>
          <w:rFonts w:hint="eastAsia" w:ascii="宋体" w:hAnsi="宋体" w:eastAsia="宋体" w:cs="宋体"/>
          <w:bCs/>
          <w:sz w:val="28"/>
          <w:szCs w:val="28"/>
        </w:rPr>
        <w:fldChar w:fldCharType="end"/>
      </w:r>
    </w:p>
    <w:p w14:paraId="13D0E520">
      <w:pPr>
        <w:pStyle w:val="9"/>
        <w:tabs>
          <w:tab w:val="right" w:leader="dot" w:pos="8306"/>
        </w:tabs>
        <w:rPr>
          <w:rFonts w:hint="eastAsia" w:ascii="宋体" w:hAnsi="宋体" w:eastAsia="宋体" w:cs="宋体"/>
          <w:sz w:val="30"/>
          <w:szCs w:val="30"/>
        </w:rPr>
      </w:pPr>
      <w:r>
        <w:rPr>
          <w:rFonts w:hint="eastAsia" w:ascii="宋体" w:hAnsi="宋体" w:eastAsia="宋体" w:cs="宋体"/>
          <w:bCs/>
          <w:sz w:val="30"/>
          <w:szCs w:val="30"/>
        </w:rPr>
        <w:fldChar w:fldCharType="begin"/>
      </w:r>
      <w:r>
        <w:rPr>
          <w:rFonts w:hint="eastAsia" w:ascii="宋体" w:hAnsi="宋体" w:eastAsia="宋体" w:cs="宋体"/>
          <w:bCs/>
          <w:sz w:val="30"/>
          <w:szCs w:val="30"/>
        </w:rPr>
        <w:instrText xml:space="preserve"> HYPERLINK \l _Toc1428335531 </w:instrText>
      </w:r>
      <w:r>
        <w:rPr>
          <w:rFonts w:hint="eastAsia" w:ascii="宋体" w:hAnsi="宋体" w:eastAsia="宋体" w:cs="宋体"/>
          <w:bCs/>
          <w:sz w:val="30"/>
          <w:szCs w:val="30"/>
        </w:rPr>
        <w:fldChar w:fldCharType="separate"/>
      </w:r>
      <w:r>
        <w:rPr>
          <w:rFonts w:hint="eastAsia" w:ascii="宋体" w:hAnsi="宋体" w:eastAsia="宋体" w:cs="宋体"/>
          <w:bCs/>
          <w:sz w:val="30"/>
          <w:szCs w:val="30"/>
        </w:rPr>
        <w:t>第四章 灾后传染病传播特征与原因分析</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_Toc1428335531 \h </w:instrText>
      </w:r>
      <w:r>
        <w:rPr>
          <w:rFonts w:hint="eastAsia" w:ascii="宋体" w:hAnsi="宋体" w:eastAsia="宋体" w:cs="宋体"/>
          <w:sz w:val="30"/>
          <w:szCs w:val="30"/>
        </w:rPr>
        <w:fldChar w:fldCharType="separate"/>
      </w:r>
      <w:r>
        <w:rPr>
          <w:rFonts w:hint="eastAsia" w:ascii="宋体" w:hAnsi="宋体" w:eastAsia="宋体" w:cs="宋体"/>
          <w:sz w:val="30"/>
          <w:szCs w:val="30"/>
        </w:rPr>
        <w:t>9</w:t>
      </w:r>
      <w:r>
        <w:rPr>
          <w:rFonts w:hint="eastAsia" w:ascii="宋体" w:hAnsi="宋体" w:eastAsia="宋体" w:cs="宋体"/>
          <w:sz w:val="30"/>
          <w:szCs w:val="30"/>
        </w:rPr>
        <w:fldChar w:fldCharType="end"/>
      </w:r>
      <w:r>
        <w:rPr>
          <w:rFonts w:hint="eastAsia" w:ascii="宋体" w:hAnsi="宋体" w:eastAsia="宋体" w:cs="宋体"/>
          <w:bCs/>
          <w:sz w:val="30"/>
          <w:szCs w:val="30"/>
        </w:rPr>
        <w:fldChar w:fldCharType="end"/>
      </w:r>
    </w:p>
    <w:p w14:paraId="3EEE5020">
      <w:pPr>
        <w:pStyle w:val="10"/>
        <w:tabs>
          <w:tab w:val="right" w:leader="dot" w:pos="8306"/>
        </w:tabs>
        <w:rPr>
          <w:rFonts w:hint="eastAsia" w:ascii="宋体" w:hAnsi="宋体" w:eastAsia="宋体" w:cs="宋体"/>
          <w:sz w:val="28"/>
          <w:szCs w:val="28"/>
        </w:rPr>
      </w:pPr>
      <w:r>
        <w:rPr>
          <w:rFonts w:hint="eastAsia" w:ascii="宋体" w:hAnsi="宋体" w:eastAsia="宋体" w:cs="宋体"/>
          <w:bCs/>
          <w:sz w:val="28"/>
          <w:szCs w:val="28"/>
        </w:rPr>
        <w:fldChar w:fldCharType="begin"/>
      </w:r>
      <w:r>
        <w:rPr>
          <w:rFonts w:hint="eastAsia" w:ascii="宋体" w:hAnsi="宋体" w:eastAsia="宋体" w:cs="宋体"/>
          <w:bCs/>
          <w:sz w:val="28"/>
          <w:szCs w:val="28"/>
        </w:rPr>
        <w:instrText xml:space="preserve"> HYPERLINK \l _Toc1463063351 </w:instrText>
      </w:r>
      <w:r>
        <w:rPr>
          <w:rFonts w:hint="eastAsia" w:ascii="宋体" w:hAnsi="宋体" w:eastAsia="宋体" w:cs="宋体"/>
          <w:bCs/>
          <w:sz w:val="28"/>
          <w:szCs w:val="28"/>
        </w:rPr>
        <w:fldChar w:fldCharType="separate"/>
      </w:r>
      <w:r>
        <w:rPr>
          <w:rFonts w:hint="eastAsia" w:ascii="宋体" w:hAnsi="宋体" w:eastAsia="宋体" w:cs="宋体"/>
          <w:sz w:val="28"/>
          <w:szCs w:val="28"/>
        </w:rPr>
        <w:t>4.1灾后传染病传播特征</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_Toc1463063351 \h </w:instrText>
      </w:r>
      <w:r>
        <w:rPr>
          <w:rFonts w:hint="eastAsia" w:ascii="宋体" w:hAnsi="宋体" w:eastAsia="宋体" w:cs="宋体"/>
          <w:sz w:val="28"/>
          <w:szCs w:val="28"/>
        </w:rPr>
        <w:fldChar w:fldCharType="separate"/>
      </w:r>
      <w:r>
        <w:rPr>
          <w:rFonts w:hint="eastAsia" w:ascii="宋体" w:hAnsi="宋体" w:eastAsia="宋体" w:cs="宋体"/>
          <w:sz w:val="28"/>
          <w:szCs w:val="28"/>
        </w:rPr>
        <w:t>9</w:t>
      </w:r>
      <w:r>
        <w:rPr>
          <w:rFonts w:hint="eastAsia" w:ascii="宋体" w:hAnsi="宋体" w:eastAsia="宋体" w:cs="宋体"/>
          <w:sz w:val="28"/>
          <w:szCs w:val="28"/>
        </w:rPr>
        <w:fldChar w:fldCharType="end"/>
      </w:r>
      <w:r>
        <w:rPr>
          <w:rFonts w:hint="eastAsia" w:ascii="宋体" w:hAnsi="宋体" w:eastAsia="宋体" w:cs="宋体"/>
          <w:bCs/>
          <w:sz w:val="28"/>
          <w:szCs w:val="28"/>
        </w:rPr>
        <w:fldChar w:fldCharType="end"/>
      </w:r>
    </w:p>
    <w:p w14:paraId="7DBA9B36">
      <w:pPr>
        <w:pStyle w:val="10"/>
        <w:tabs>
          <w:tab w:val="right" w:leader="dot" w:pos="8306"/>
        </w:tabs>
        <w:rPr>
          <w:rFonts w:hint="eastAsia" w:ascii="宋体" w:hAnsi="宋体" w:eastAsia="宋体" w:cs="宋体"/>
          <w:sz w:val="28"/>
          <w:szCs w:val="28"/>
        </w:rPr>
      </w:pPr>
      <w:r>
        <w:rPr>
          <w:rFonts w:hint="eastAsia" w:ascii="宋体" w:hAnsi="宋体" w:eastAsia="宋体" w:cs="宋体"/>
          <w:bCs/>
          <w:sz w:val="28"/>
          <w:szCs w:val="28"/>
        </w:rPr>
        <w:fldChar w:fldCharType="begin"/>
      </w:r>
      <w:r>
        <w:rPr>
          <w:rFonts w:hint="eastAsia" w:ascii="宋体" w:hAnsi="宋体" w:eastAsia="宋体" w:cs="宋体"/>
          <w:bCs/>
          <w:sz w:val="28"/>
          <w:szCs w:val="28"/>
        </w:rPr>
        <w:instrText xml:space="preserve"> HYPERLINK \l _Toc1017982107 </w:instrText>
      </w:r>
      <w:r>
        <w:rPr>
          <w:rFonts w:hint="eastAsia" w:ascii="宋体" w:hAnsi="宋体" w:eastAsia="宋体" w:cs="宋体"/>
          <w:bCs/>
          <w:sz w:val="28"/>
          <w:szCs w:val="28"/>
        </w:rPr>
        <w:fldChar w:fldCharType="separate"/>
      </w:r>
      <w:r>
        <w:rPr>
          <w:rFonts w:hint="eastAsia" w:ascii="宋体" w:hAnsi="宋体" w:eastAsia="宋体" w:cs="宋体"/>
          <w:sz w:val="28"/>
          <w:szCs w:val="28"/>
        </w:rPr>
        <w:t>4.2 地震灾后传染病原因分析</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_Toc1017982107 \h </w:instrText>
      </w:r>
      <w:r>
        <w:rPr>
          <w:rFonts w:hint="eastAsia" w:ascii="宋体" w:hAnsi="宋体" w:eastAsia="宋体" w:cs="宋体"/>
          <w:sz w:val="28"/>
          <w:szCs w:val="28"/>
        </w:rPr>
        <w:fldChar w:fldCharType="separate"/>
      </w:r>
      <w:r>
        <w:rPr>
          <w:rFonts w:hint="eastAsia" w:ascii="宋体" w:hAnsi="宋体" w:eastAsia="宋体" w:cs="宋体"/>
          <w:sz w:val="28"/>
          <w:szCs w:val="28"/>
        </w:rPr>
        <w:t>9</w:t>
      </w:r>
      <w:r>
        <w:rPr>
          <w:rFonts w:hint="eastAsia" w:ascii="宋体" w:hAnsi="宋体" w:eastAsia="宋体" w:cs="宋体"/>
          <w:sz w:val="28"/>
          <w:szCs w:val="28"/>
        </w:rPr>
        <w:fldChar w:fldCharType="end"/>
      </w:r>
      <w:r>
        <w:rPr>
          <w:rFonts w:hint="eastAsia" w:ascii="宋体" w:hAnsi="宋体" w:eastAsia="宋体" w:cs="宋体"/>
          <w:bCs/>
          <w:sz w:val="28"/>
          <w:szCs w:val="28"/>
        </w:rPr>
        <w:fldChar w:fldCharType="end"/>
      </w:r>
    </w:p>
    <w:p w14:paraId="3AC211C0">
      <w:pPr>
        <w:pStyle w:val="9"/>
        <w:tabs>
          <w:tab w:val="right" w:leader="dot" w:pos="8306"/>
        </w:tabs>
        <w:rPr>
          <w:rFonts w:hint="eastAsia" w:ascii="宋体" w:hAnsi="宋体" w:eastAsia="宋体" w:cs="宋体"/>
          <w:sz w:val="30"/>
          <w:szCs w:val="30"/>
        </w:rPr>
      </w:pPr>
      <w:r>
        <w:rPr>
          <w:rFonts w:hint="eastAsia" w:ascii="宋体" w:hAnsi="宋体" w:eastAsia="宋体" w:cs="宋体"/>
          <w:bCs/>
          <w:sz w:val="30"/>
          <w:szCs w:val="30"/>
        </w:rPr>
        <w:fldChar w:fldCharType="begin"/>
      </w:r>
      <w:r>
        <w:rPr>
          <w:rFonts w:hint="eastAsia" w:ascii="宋体" w:hAnsi="宋体" w:eastAsia="宋体" w:cs="宋体"/>
          <w:bCs/>
          <w:sz w:val="30"/>
          <w:szCs w:val="30"/>
        </w:rPr>
        <w:instrText xml:space="preserve"> HYPERLINK \l _Toc223056700 </w:instrText>
      </w:r>
      <w:r>
        <w:rPr>
          <w:rFonts w:hint="eastAsia" w:ascii="宋体" w:hAnsi="宋体" w:eastAsia="宋体" w:cs="宋体"/>
          <w:bCs/>
          <w:sz w:val="30"/>
          <w:szCs w:val="30"/>
        </w:rPr>
        <w:fldChar w:fldCharType="separate"/>
      </w:r>
      <w:r>
        <w:rPr>
          <w:rFonts w:hint="eastAsia" w:ascii="宋体" w:hAnsi="宋体" w:eastAsia="宋体" w:cs="宋体"/>
          <w:bCs/>
          <w:sz w:val="30"/>
          <w:szCs w:val="30"/>
        </w:rPr>
        <w:t>第五章 地震灾后传染病应急措施分析及改进建议</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_Toc223056700 \h </w:instrText>
      </w:r>
      <w:r>
        <w:rPr>
          <w:rFonts w:hint="eastAsia" w:ascii="宋体" w:hAnsi="宋体" w:eastAsia="宋体" w:cs="宋体"/>
          <w:sz w:val="30"/>
          <w:szCs w:val="30"/>
        </w:rPr>
        <w:fldChar w:fldCharType="separate"/>
      </w:r>
      <w:r>
        <w:rPr>
          <w:rFonts w:hint="eastAsia" w:ascii="宋体" w:hAnsi="宋体" w:eastAsia="宋体" w:cs="宋体"/>
          <w:sz w:val="30"/>
          <w:szCs w:val="30"/>
        </w:rPr>
        <w:t>11</w:t>
      </w:r>
      <w:r>
        <w:rPr>
          <w:rFonts w:hint="eastAsia" w:ascii="宋体" w:hAnsi="宋体" w:eastAsia="宋体" w:cs="宋体"/>
          <w:sz w:val="30"/>
          <w:szCs w:val="30"/>
        </w:rPr>
        <w:fldChar w:fldCharType="end"/>
      </w:r>
      <w:r>
        <w:rPr>
          <w:rFonts w:hint="eastAsia" w:ascii="宋体" w:hAnsi="宋体" w:eastAsia="宋体" w:cs="宋体"/>
          <w:bCs/>
          <w:sz w:val="30"/>
          <w:szCs w:val="30"/>
        </w:rPr>
        <w:fldChar w:fldCharType="end"/>
      </w:r>
    </w:p>
    <w:p w14:paraId="1D6EC052">
      <w:pPr>
        <w:pStyle w:val="10"/>
        <w:tabs>
          <w:tab w:val="right" w:leader="dot" w:pos="8306"/>
        </w:tabs>
        <w:rPr>
          <w:rFonts w:hint="eastAsia" w:ascii="宋体" w:hAnsi="宋体" w:eastAsia="宋体" w:cs="宋体"/>
          <w:sz w:val="28"/>
          <w:szCs w:val="28"/>
        </w:rPr>
      </w:pPr>
      <w:r>
        <w:rPr>
          <w:rFonts w:hint="eastAsia" w:ascii="宋体" w:hAnsi="宋体" w:eastAsia="宋体" w:cs="宋体"/>
          <w:bCs/>
          <w:sz w:val="28"/>
          <w:szCs w:val="28"/>
        </w:rPr>
        <w:fldChar w:fldCharType="begin"/>
      </w:r>
      <w:r>
        <w:rPr>
          <w:rFonts w:hint="eastAsia" w:ascii="宋体" w:hAnsi="宋体" w:eastAsia="宋体" w:cs="宋体"/>
          <w:bCs/>
          <w:sz w:val="28"/>
          <w:szCs w:val="28"/>
        </w:rPr>
        <w:instrText xml:space="preserve"> HYPERLINK \l _Toc1554992885 </w:instrText>
      </w:r>
      <w:r>
        <w:rPr>
          <w:rFonts w:hint="eastAsia" w:ascii="宋体" w:hAnsi="宋体" w:eastAsia="宋体" w:cs="宋体"/>
          <w:bCs/>
          <w:sz w:val="28"/>
          <w:szCs w:val="28"/>
        </w:rPr>
        <w:fldChar w:fldCharType="separate"/>
      </w:r>
      <w:r>
        <w:rPr>
          <w:rFonts w:hint="eastAsia" w:ascii="宋体" w:hAnsi="宋体" w:eastAsia="宋体" w:cs="宋体"/>
          <w:sz w:val="28"/>
          <w:szCs w:val="28"/>
        </w:rPr>
        <w:t>5.1缅甸曼德勒3.28地震的各国应急支援情况</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_Toc1554992885 \h </w:instrText>
      </w:r>
      <w:r>
        <w:rPr>
          <w:rFonts w:hint="eastAsia" w:ascii="宋体" w:hAnsi="宋体" w:eastAsia="宋体" w:cs="宋体"/>
          <w:sz w:val="28"/>
          <w:szCs w:val="28"/>
        </w:rPr>
        <w:fldChar w:fldCharType="separate"/>
      </w:r>
      <w:r>
        <w:rPr>
          <w:rFonts w:hint="eastAsia" w:ascii="宋体" w:hAnsi="宋体" w:eastAsia="宋体" w:cs="宋体"/>
          <w:sz w:val="28"/>
          <w:szCs w:val="28"/>
        </w:rPr>
        <w:t>11</w:t>
      </w:r>
      <w:r>
        <w:rPr>
          <w:rFonts w:hint="eastAsia" w:ascii="宋体" w:hAnsi="宋体" w:eastAsia="宋体" w:cs="宋体"/>
          <w:sz w:val="28"/>
          <w:szCs w:val="28"/>
        </w:rPr>
        <w:fldChar w:fldCharType="end"/>
      </w:r>
      <w:r>
        <w:rPr>
          <w:rFonts w:hint="eastAsia" w:ascii="宋体" w:hAnsi="宋体" w:eastAsia="宋体" w:cs="宋体"/>
          <w:bCs/>
          <w:sz w:val="28"/>
          <w:szCs w:val="28"/>
        </w:rPr>
        <w:fldChar w:fldCharType="end"/>
      </w:r>
    </w:p>
    <w:p w14:paraId="29FA5CC4">
      <w:pPr>
        <w:pStyle w:val="10"/>
        <w:tabs>
          <w:tab w:val="right" w:leader="dot" w:pos="8306"/>
        </w:tabs>
        <w:rPr>
          <w:rFonts w:hint="eastAsia" w:ascii="宋体" w:hAnsi="宋体" w:eastAsia="宋体" w:cs="宋体"/>
          <w:sz w:val="28"/>
          <w:szCs w:val="28"/>
        </w:rPr>
      </w:pPr>
      <w:r>
        <w:rPr>
          <w:rFonts w:hint="eastAsia" w:ascii="宋体" w:hAnsi="宋体" w:eastAsia="宋体" w:cs="宋体"/>
          <w:bCs/>
          <w:sz w:val="28"/>
          <w:szCs w:val="28"/>
        </w:rPr>
        <w:fldChar w:fldCharType="begin"/>
      </w:r>
      <w:r>
        <w:rPr>
          <w:rFonts w:hint="eastAsia" w:ascii="宋体" w:hAnsi="宋体" w:eastAsia="宋体" w:cs="宋体"/>
          <w:bCs/>
          <w:sz w:val="28"/>
          <w:szCs w:val="28"/>
        </w:rPr>
        <w:instrText xml:space="preserve"> HYPERLINK \l _Toc2036917852 </w:instrText>
      </w:r>
      <w:r>
        <w:rPr>
          <w:rFonts w:hint="eastAsia" w:ascii="宋体" w:hAnsi="宋体" w:eastAsia="宋体" w:cs="宋体"/>
          <w:bCs/>
          <w:sz w:val="28"/>
          <w:szCs w:val="28"/>
        </w:rPr>
        <w:fldChar w:fldCharType="separate"/>
      </w:r>
      <w:r>
        <w:rPr>
          <w:rFonts w:hint="eastAsia" w:ascii="宋体" w:hAnsi="宋体" w:eastAsia="宋体" w:cs="宋体"/>
          <w:sz w:val="28"/>
          <w:szCs w:val="28"/>
        </w:rPr>
        <w:t>5.2缅甸对于灾后传染病的应急措施</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_Toc2036917852 \h </w:instrText>
      </w:r>
      <w:r>
        <w:rPr>
          <w:rFonts w:hint="eastAsia" w:ascii="宋体" w:hAnsi="宋体" w:eastAsia="宋体" w:cs="宋体"/>
          <w:sz w:val="28"/>
          <w:szCs w:val="28"/>
        </w:rPr>
        <w:fldChar w:fldCharType="separate"/>
      </w:r>
      <w:r>
        <w:rPr>
          <w:rFonts w:hint="eastAsia" w:ascii="宋体" w:hAnsi="宋体" w:eastAsia="宋体" w:cs="宋体"/>
          <w:sz w:val="28"/>
          <w:szCs w:val="28"/>
        </w:rPr>
        <w:t>11</w:t>
      </w:r>
      <w:r>
        <w:rPr>
          <w:rFonts w:hint="eastAsia" w:ascii="宋体" w:hAnsi="宋体" w:eastAsia="宋体" w:cs="宋体"/>
          <w:sz w:val="28"/>
          <w:szCs w:val="28"/>
        </w:rPr>
        <w:fldChar w:fldCharType="end"/>
      </w:r>
      <w:r>
        <w:rPr>
          <w:rFonts w:hint="eastAsia" w:ascii="宋体" w:hAnsi="宋体" w:eastAsia="宋体" w:cs="宋体"/>
          <w:bCs/>
          <w:sz w:val="28"/>
          <w:szCs w:val="28"/>
        </w:rPr>
        <w:fldChar w:fldCharType="end"/>
      </w:r>
    </w:p>
    <w:p w14:paraId="731DF091">
      <w:pPr>
        <w:pStyle w:val="9"/>
        <w:tabs>
          <w:tab w:val="right" w:leader="dot" w:pos="8306"/>
        </w:tabs>
        <w:rPr>
          <w:rFonts w:hint="eastAsia" w:ascii="宋体" w:hAnsi="宋体" w:eastAsia="宋体" w:cs="宋体"/>
          <w:sz w:val="30"/>
          <w:szCs w:val="30"/>
        </w:rPr>
      </w:pPr>
      <w:r>
        <w:rPr>
          <w:rFonts w:hint="eastAsia" w:ascii="宋体" w:hAnsi="宋体" w:eastAsia="宋体" w:cs="宋体"/>
          <w:bCs/>
          <w:sz w:val="30"/>
          <w:szCs w:val="30"/>
        </w:rPr>
        <w:fldChar w:fldCharType="begin"/>
      </w:r>
      <w:r>
        <w:rPr>
          <w:rFonts w:hint="eastAsia" w:ascii="宋体" w:hAnsi="宋体" w:eastAsia="宋体" w:cs="宋体"/>
          <w:bCs/>
          <w:sz w:val="30"/>
          <w:szCs w:val="30"/>
        </w:rPr>
        <w:instrText xml:space="preserve"> HYPERLINK \l _Toc1441521737 </w:instrText>
      </w:r>
      <w:r>
        <w:rPr>
          <w:rFonts w:hint="eastAsia" w:ascii="宋体" w:hAnsi="宋体" w:eastAsia="宋体" w:cs="宋体"/>
          <w:bCs/>
          <w:sz w:val="30"/>
          <w:szCs w:val="30"/>
        </w:rPr>
        <w:fldChar w:fldCharType="separate"/>
      </w:r>
      <w:r>
        <w:rPr>
          <w:rFonts w:hint="eastAsia" w:ascii="宋体" w:hAnsi="宋体" w:eastAsia="宋体" w:cs="宋体"/>
          <w:bCs/>
          <w:sz w:val="30"/>
          <w:szCs w:val="30"/>
        </w:rPr>
        <w:t>第六章 地震灾后传染病应急措施应对建议</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_Toc1441521737 \h </w:instrText>
      </w:r>
      <w:r>
        <w:rPr>
          <w:rFonts w:hint="eastAsia" w:ascii="宋体" w:hAnsi="宋体" w:eastAsia="宋体" w:cs="宋体"/>
          <w:sz w:val="30"/>
          <w:szCs w:val="30"/>
        </w:rPr>
        <w:fldChar w:fldCharType="separate"/>
      </w:r>
      <w:r>
        <w:rPr>
          <w:rFonts w:hint="eastAsia" w:ascii="宋体" w:hAnsi="宋体" w:eastAsia="宋体" w:cs="宋体"/>
          <w:sz w:val="30"/>
          <w:szCs w:val="30"/>
        </w:rPr>
        <w:t>13</w:t>
      </w:r>
      <w:r>
        <w:rPr>
          <w:rFonts w:hint="eastAsia" w:ascii="宋体" w:hAnsi="宋体" w:eastAsia="宋体" w:cs="宋体"/>
          <w:sz w:val="30"/>
          <w:szCs w:val="30"/>
        </w:rPr>
        <w:fldChar w:fldCharType="end"/>
      </w:r>
      <w:r>
        <w:rPr>
          <w:rFonts w:hint="eastAsia" w:ascii="宋体" w:hAnsi="宋体" w:eastAsia="宋体" w:cs="宋体"/>
          <w:bCs/>
          <w:sz w:val="30"/>
          <w:szCs w:val="30"/>
        </w:rPr>
        <w:fldChar w:fldCharType="end"/>
      </w:r>
    </w:p>
    <w:p w14:paraId="7BEDC81D">
      <w:pPr>
        <w:pStyle w:val="10"/>
        <w:tabs>
          <w:tab w:val="right" w:leader="dot" w:pos="8306"/>
        </w:tabs>
        <w:rPr>
          <w:rFonts w:hint="eastAsia" w:ascii="宋体" w:hAnsi="宋体" w:eastAsia="宋体" w:cs="宋体"/>
          <w:sz w:val="28"/>
          <w:szCs w:val="28"/>
        </w:rPr>
      </w:pPr>
      <w:r>
        <w:rPr>
          <w:rFonts w:hint="eastAsia" w:ascii="宋体" w:hAnsi="宋体" w:eastAsia="宋体" w:cs="宋体"/>
          <w:bCs/>
          <w:sz w:val="28"/>
          <w:szCs w:val="28"/>
        </w:rPr>
        <w:fldChar w:fldCharType="begin"/>
      </w:r>
      <w:r>
        <w:rPr>
          <w:rFonts w:hint="eastAsia" w:ascii="宋体" w:hAnsi="宋体" w:eastAsia="宋体" w:cs="宋体"/>
          <w:bCs/>
          <w:sz w:val="28"/>
          <w:szCs w:val="28"/>
        </w:rPr>
        <w:instrText xml:space="preserve"> HYPERLINK \l _Toc1892811952 </w:instrText>
      </w:r>
      <w:r>
        <w:rPr>
          <w:rFonts w:hint="eastAsia" w:ascii="宋体" w:hAnsi="宋体" w:eastAsia="宋体" w:cs="宋体"/>
          <w:bCs/>
          <w:sz w:val="28"/>
          <w:szCs w:val="28"/>
        </w:rPr>
        <w:fldChar w:fldCharType="separate"/>
      </w:r>
      <w:r>
        <w:rPr>
          <w:rFonts w:hint="eastAsia" w:ascii="宋体" w:hAnsi="宋体" w:eastAsia="宋体" w:cs="宋体"/>
          <w:sz w:val="28"/>
          <w:szCs w:val="28"/>
        </w:rPr>
        <w:t>6.1强化环境治理与消杀</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_Toc1892811952 \h </w:instrText>
      </w:r>
      <w:r>
        <w:rPr>
          <w:rFonts w:hint="eastAsia" w:ascii="宋体" w:hAnsi="宋体" w:eastAsia="宋体" w:cs="宋体"/>
          <w:sz w:val="28"/>
          <w:szCs w:val="28"/>
        </w:rPr>
        <w:fldChar w:fldCharType="separate"/>
      </w:r>
      <w:r>
        <w:rPr>
          <w:rFonts w:hint="eastAsia" w:ascii="宋体" w:hAnsi="宋体" w:eastAsia="宋体" w:cs="宋体"/>
          <w:sz w:val="28"/>
          <w:szCs w:val="28"/>
        </w:rPr>
        <w:t>13</w:t>
      </w:r>
      <w:r>
        <w:rPr>
          <w:rFonts w:hint="eastAsia" w:ascii="宋体" w:hAnsi="宋体" w:eastAsia="宋体" w:cs="宋体"/>
          <w:sz w:val="28"/>
          <w:szCs w:val="28"/>
        </w:rPr>
        <w:fldChar w:fldCharType="end"/>
      </w:r>
      <w:r>
        <w:rPr>
          <w:rFonts w:hint="eastAsia" w:ascii="宋体" w:hAnsi="宋体" w:eastAsia="宋体" w:cs="宋体"/>
          <w:bCs/>
          <w:sz w:val="28"/>
          <w:szCs w:val="28"/>
        </w:rPr>
        <w:fldChar w:fldCharType="end"/>
      </w:r>
    </w:p>
    <w:p w14:paraId="2C7E9768">
      <w:pPr>
        <w:pStyle w:val="10"/>
        <w:tabs>
          <w:tab w:val="right" w:leader="dot" w:pos="8306"/>
        </w:tabs>
        <w:rPr>
          <w:rFonts w:hint="eastAsia" w:ascii="宋体" w:hAnsi="宋体" w:eastAsia="宋体" w:cs="宋体"/>
          <w:sz w:val="28"/>
          <w:szCs w:val="28"/>
        </w:rPr>
      </w:pPr>
      <w:r>
        <w:rPr>
          <w:rFonts w:hint="eastAsia" w:ascii="宋体" w:hAnsi="宋体" w:eastAsia="宋体" w:cs="宋体"/>
          <w:bCs/>
          <w:sz w:val="28"/>
          <w:szCs w:val="28"/>
        </w:rPr>
        <w:fldChar w:fldCharType="begin"/>
      </w:r>
      <w:r>
        <w:rPr>
          <w:rFonts w:hint="eastAsia" w:ascii="宋体" w:hAnsi="宋体" w:eastAsia="宋体" w:cs="宋体"/>
          <w:bCs/>
          <w:sz w:val="28"/>
          <w:szCs w:val="28"/>
        </w:rPr>
        <w:instrText xml:space="preserve"> HYPERLINK \l _Toc1815214253 </w:instrText>
      </w:r>
      <w:r>
        <w:rPr>
          <w:rFonts w:hint="eastAsia" w:ascii="宋体" w:hAnsi="宋体" w:eastAsia="宋体" w:cs="宋体"/>
          <w:bCs/>
          <w:sz w:val="28"/>
          <w:szCs w:val="28"/>
        </w:rPr>
        <w:fldChar w:fldCharType="separate"/>
      </w:r>
      <w:r>
        <w:rPr>
          <w:rFonts w:hint="eastAsia" w:ascii="宋体" w:hAnsi="宋体" w:eastAsia="宋体" w:cs="宋体"/>
          <w:sz w:val="28"/>
          <w:szCs w:val="28"/>
        </w:rPr>
        <w:t>6.2完善医疗应急体系</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_Toc1815214253 \h </w:instrText>
      </w:r>
      <w:r>
        <w:rPr>
          <w:rFonts w:hint="eastAsia" w:ascii="宋体" w:hAnsi="宋体" w:eastAsia="宋体" w:cs="宋体"/>
          <w:sz w:val="28"/>
          <w:szCs w:val="28"/>
        </w:rPr>
        <w:fldChar w:fldCharType="separate"/>
      </w:r>
      <w:r>
        <w:rPr>
          <w:rFonts w:hint="eastAsia" w:ascii="宋体" w:hAnsi="宋体" w:eastAsia="宋体" w:cs="宋体"/>
          <w:sz w:val="28"/>
          <w:szCs w:val="28"/>
        </w:rPr>
        <w:t>13</w:t>
      </w:r>
      <w:r>
        <w:rPr>
          <w:rFonts w:hint="eastAsia" w:ascii="宋体" w:hAnsi="宋体" w:eastAsia="宋体" w:cs="宋体"/>
          <w:sz w:val="28"/>
          <w:szCs w:val="28"/>
        </w:rPr>
        <w:fldChar w:fldCharType="end"/>
      </w:r>
      <w:r>
        <w:rPr>
          <w:rFonts w:hint="eastAsia" w:ascii="宋体" w:hAnsi="宋体" w:eastAsia="宋体" w:cs="宋体"/>
          <w:bCs/>
          <w:sz w:val="28"/>
          <w:szCs w:val="28"/>
        </w:rPr>
        <w:fldChar w:fldCharType="end"/>
      </w:r>
    </w:p>
    <w:p w14:paraId="1C67F795">
      <w:pPr>
        <w:pStyle w:val="10"/>
        <w:tabs>
          <w:tab w:val="right" w:leader="dot" w:pos="8306"/>
        </w:tabs>
        <w:rPr>
          <w:rFonts w:hint="eastAsia" w:ascii="宋体" w:hAnsi="宋体" w:eastAsia="宋体" w:cs="宋体"/>
          <w:sz w:val="28"/>
          <w:szCs w:val="28"/>
        </w:rPr>
      </w:pPr>
      <w:r>
        <w:rPr>
          <w:rFonts w:hint="eastAsia" w:ascii="宋体" w:hAnsi="宋体" w:eastAsia="宋体" w:cs="宋体"/>
          <w:bCs/>
          <w:sz w:val="28"/>
          <w:szCs w:val="28"/>
        </w:rPr>
        <w:fldChar w:fldCharType="begin"/>
      </w:r>
      <w:r>
        <w:rPr>
          <w:rFonts w:hint="eastAsia" w:ascii="宋体" w:hAnsi="宋体" w:eastAsia="宋体" w:cs="宋体"/>
          <w:bCs/>
          <w:sz w:val="28"/>
          <w:szCs w:val="28"/>
        </w:rPr>
        <w:instrText xml:space="preserve"> HYPERLINK \l _Toc1153260889 </w:instrText>
      </w:r>
      <w:r>
        <w:rPr>
          <w:rFonts w:hint="eastAsia" w:ascii="宋体" w:hAnsi="宋体" w:eastAsia="宋体" w:cs="宋体"/>
          <w:bCs/>
          <w:sz w:val="28"/>
          <w:szCs w:val="28"/>
        </w:rPr>
        <w:fldChar w:fldCharType="separate"/>
      </w:r>
      <w:r>
        <w:rPr>
          <w:rFonts w:hint="eastAsia" w:ascii="宋体" w:hAnsi="宋体" w:eastAsia="宋体" w:cs="宋体"/>
          <w:sz w:val="28"/>
          <w:szCs w:val="28"/>
        </w:rPr>
        <w:t>6.3提升公众防疫意识</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_Toc1153260889 \h </w:instrText>
      </w:r>
      <w:r>
        <w:rPr>
          <w:rFonts w:hint="eastAsia" w:ascii="宋体" w:hAnsi="宋体" w:eastAsia="宋体" w:cs="宋体"/>
          <w:sz w:val="28"/>
          <w:szCs w:val="28"/>
        </w:rPr>
        <w:fldChar w:fldCharType="separate"/>
      </w:r>
      <w:r>
        <w:rPr>
          <w:rFonts w:hint="eastAsia" w:ascii="宋体" w:hAnsi="宋体" w:eastAsia="宋体" w:cs="宋体"/>
          <w:sz w:val="28"/>
          <w:szCs w:val="28"/>
        </w:rPr>
        <w:t>13</w:t>
      </w:r>
      <w:r>
        <w:rPr>
          <w:rFonts w:hint="eastAsia" w:ascii="宋体" w:hAnsi="宋体" w:eastAsia="宋体" w:cs="宋体"/>
          <w:sz w:val="28"/>
          <w:szCs w:val="28"/>
        </w:rPr>
        <w:fldChar w:fldCharType="end"/>
      </w:r>
      <w:r>
        <w:rPr>
          <w:rFonts w:hint="eastAsia" w:ascii="宋体" w:hAnsi="宋体" w:eastAsia="宋体" w:cs="宋体"/>
          <w:bCs/>
          <w:sz w:val="28"/>
          <w:szCs w:val="28"/>
        </w:rPr>
        <w:fldChar w:fldCharType="end"/>
      </w:r>
    </w:p>
    <w:p w14:paraId="727E3DB3">
      <w:pPr>
        <w:pStyle w:val="10"/>
        <w:tabs>
          <w:tab w:val="right" w:leader="dot" w:pos="8306"/>
        </w:tabs>
        <w:rPr>
          <w:rFonts w:hint="eastAsia" w:ascii="宋体" w:hAnsi="宋体" w:eastAsia="宋体" w:cs="宋体"/>
          <w:sz w:val="28"/>
          <w:szCs w:val="28"/>
        </w:rPr>
      </w:pPr>
      <w:r>
        <w:rPr>
          <w:rFonts w:hint="eastAsia" w:ascii="宋体" w:hAnsi="宋体" w:eastAsia="宋体" w:cs="宋体"/>
          <w:bCs/>
          <w:sz w:val="28"/>
          <w:szCs w:val="28"/>
        </w:rPr>
        <w:fldChar w:fldCharType="begin"/>
      </w:r>
      <w:r>
        <w:rPr>
          <w:rFonts w:hint="eastAsia" w:ascii="宋体" w:hAnsi="宋体" w:eastAsia="宋体" w:cs="宋体"/>
          <w:bCs/>
          <w:sz w:val="28"/>
          <w:szCs w:val="28"/>
        </w:rPr>
        <w:instrText xml:space="preserve"> HYPERLINK \l _Toc1815847248 </w:instrText>
      </w:r>
      <w:r>
        <w:rPr>
          <w:rFonts w:hint="eastAsia" w:ascii="宋体" w:hAnsi="宋体" w:eastAsia="宋体" w:cs="宋体"/>
          <w:bCs/>
          <w:sz w:val="28"/>
          <w:szCs w:val="28"/>
        </w:rPr>
        <w:fldChar w:fldCharType="separate"/>
      </w:r>
      <w:r>
        <w:rPr>
          <w:rFonts w:hint="eastAsia" w:ascii="宋体" w:hAnsi="宋体" w:eastAsia="宋体" w:cs="宋体"/>
          <w:sz w:val="28"/>
          <w:szCs w:val="28"/>
        </w:rPr>
        <w:t>6.4优化应急响应机制</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_Toc1815847248 \h </w:instrText>
      </w:r>
      <w:r>
        <w:rPr>
          <w:rFonts w:hint="eastAsia" w:ascii="宋体" w:hAnsi="宋体" w:eastAsia="宋体" w:cs="宋体"/>
          <w:sz w:val="28"/>
          <w:szCs w:val="28"/>
        </w:rPr>
        <w:fldChar w:fldCharType="separate"/>
      </w:r>
      <w:r>
        <w:rPr>
          <w:rFonts w:hint="eastAsia" w:ascii="宋体" w:hAnsi="宋体" w:eastAsia="宋体" w:cs="宋体"/>
          <w:sz w:val="28"/>
          <w:szCs w:val="28"/>
        </w:rPr>
        <w:t>13</w:t>
      </w:r>
      <w:r>
        <w:rPr>
          <w:rFonts w:hint="eastAsia" w:ascii="宋体" w:hAnsi="宋体" w:eastAsia="宋体" w:cs="宋体"/>
          <w:sz w:val="28"/>
          <w:szCs w:val="28"/>
        </w:rPr>
        <w:fldChar w:fldCharType="end"/>
      </w:r>
      <w:r>
        <w:rPr>
          <w:rFonts w:hint="eastAsia" w:ascii="宋体" w:hAnsi="宋体" w:eastAsia="宋体" w:cs="宋体"/>
          <w:bCs/>
          <w:sz w:val="28"/>
          <w:szCs w:val="28"/>
        </w:rPr>
        <w:fldChar w:fldCharType="end"/>
      </w:r>
    </w:p>
    <w:p w14:paraId="049375EE">
      <w:pPr>
        <w:pStyle w:val="10"/>
        <w:tabs>
          <w:tab w:val="right" w:leader="dot" w:pos="8306"/>
        </w:tabs>
        <w:rPr>
          <w:rFonts w:hint="eastAsia" w:ascii="宋体" w:hAnsi="宋体" w:eastAsia="宋体" w:cs="宋体"/>
          <w:sz w:val="28"/>
          <w:szCs w:val="28"/>
        </w:rPr>
      </w:pPr>
      <w:r>
        <w:rPr>
          <w:rFonts w:hint="eastAsia" w:ascii="宋体" w:hAnsi="宋体" w:eastAsia="宋体" w:cs="宋体"/>
          <w:bCs/>
          <w:sz w:val="28"/>
          <w:szCs w:val="28"/>
        </w:rPr>
        <w:fldChar w:fldCharType="begin"/>
      </w:r>
      <w:r>
        <w:rPr>
          <w:rFonts w:hint="eastAsia" w:ascii="宋体" w:hAnsi="宋体" w:eastAsia="宋体" w:cs="宋体"/>
          <w:bCs/>
          <w:sz w:val="28"/>
          <w:szCs w:val="28"/>
        </w:rPr>
        <w:instrText xml:space="preserve"> HYPERLINK \l _Toc1054589619 </w:instrText>
      </w:r>
      <w:r>
        <w:rPr>
          <w:rFonts w:hint="eastAsia" w:ascii="宋体" w:hAnsi="宋体" w:eastAsia="宋体" w:cs="宋体"/>
          <w:bCs/>
          <w:sz w:val="28"/>
          <w:szCs w:val="28"/>
        </w:rPr>
        <w:fldChar w:fldCharType="separate"/>
      </w:r>
      <w:r>
        <w:rPr>
          <w:rFonts w:hint="eastAsia" w:ascii="宋体" w:hAnsi="宋体" w:eastAsia="宋体" w:cs="宋体"/>
          <w:sz w:val="28"/>
          <w:szCs w:val="28"/>
        </w:rPr>
        <w:t>6.5 SEIR技术的运用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_Toc1054589619 \h </w:instrText>
      </w:r>
      <w:r>
        <w:rPr>
          <w:rFonts w:hint="eastAsia" w:ascii="宋体" w:hAnsi="宋体" w:eastAsia="宋体" w:cs="宋体"/>
          <w:sz w:val="28"/>
          <w:szCs w:val="28"/>
        </w:rPr>
        <w:fldChar w:fldCharType="separate"/>
      </w:r>
      <w:r>
        <w:rPr>
          <w:rFonts w:hint="eastAsia" w:ascii="宋体" w:hAnsi="宋体" w:eastAsia="宋体" w:cs="宋体"/>
          <w:sz w:val="28"/>
          <w:szCs w:val="28"/>
        </w:rPr>
        <w:t>13</w:t>
      </w:r>
      <w:r>
        <w:rPr>
          <w:rFonts w:hint="eastAsia" w:ascii="宋体" w:hAnsi="宋体" w:eastAsia="宋体" w:cs="宋体"/>
          <w:sz w:val="28"/>
          <w:szCs w:val="28"/>
        </w:rPr>
        <w:fldChar w:fldCharType="end"/>
      </w:r>
      <w:r>
        <w:rPr>
          <w:rFonts w:hint="eastAsia" w:ascii="宋体" w:hAnsi="宋体" w:eastAsia="宋体" w:cs="宋体"/>
          <w:bCs/>
          <w:sz w:val="28"/>
          <w:szCs w:val="28"/>
        </w:rPr>
        <w:fldChar w:fldCharType="end"/>
      </w:r>
    </w:p>
    <w:p w14:paraId="6817F939">
      <w:pPr>
        <w:pStyle w:val="9"/>
        <w:tabs>
          <w:tab w:val="right" w:leader="dot" w:pos="8306"/>
        </w:tabs>
        <w:rPr>
          <w:rFonts w:hint="eastAsia" w:ascii="宋体" w:hAnsi="宋体" w:eastAsia="宋体" w:cs="宋体"/>
          <w:sz w:val="30"/>
          <w:szCs w:val="30"/>
        </w:rPr>
      </w:pPr>
      <w:r>
        <w:rPr>
          <w:rFonts w:hint="eastAsia" w:ascii="宋体" w:hAnsi="宋体" w:eastAsia="宋体" w:cs="宋体"/>
          <w:bCs/>
          <w:sz w:val="30"/>
          <w:szCs w:val="30"/>
        </w:rPr>
        <w:fldChar w:fldCharType="begin"/>
      </w:r>
      <w:r>
        <w:rPr>
          <w:rFonts w:hint="eastAsia" w:ascii="宋体" w:hAnsi="宋体" w:eastAsia="宋体" w:cs="宋体"/>
          <w:bCs/>
          <w:sz w:val="30"/>
          <w:szCs w:val="30"/>
        </w:rPr>
        <w:instrText xml:space="preserve"> HYPERLINK \l _Toc1305187842 </w:instrText>
      </w:r>
      <w:r>
        <w:rPr>
          <w:rFonts w:hint="eastAsia" w:ascii="宋体" w:hAnsi="宋体" w:eastAsia="宋体" w:cs="宋体"/>
          <w:bCs/>
          <w:sz w:val="30"/>
          <w:szCs w:val="30"/>
        </w:rPr>
        <w:fldChar w:fldCharType="separate"/>
      </w:r>
      <w:r>
        <w:rPr>
          <w:rFonts w:hint="eastAsia" w:ascii="宋体" w:hAnsi="宋体" w:eastAsia="宋体" w:cs="宋体"/>
          <w:bCs/>
          <w:sz w:val="30"/>
          <w:szCs w:val="30"/>
        </w:rPr>
        <w:t>第七章 结语</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_Toc1305187842 \h </w:instrText>
      </w:r>
      <w:r>
        <w:rPr>
          <w:rFonts w:hint="eastAsia" w:ascii="宋体" w:hAnsi="宋体" w:eastAsia="宋体" w:cs="宋体"/>
          <w:sz w:val="30"/>
          <w:szCs w:val="30"/>
        </w:rPr>
        <w:fldChar w:fldCharType="separate"/>
      </w:r>
      <w:r>
        <w:rPr>
          <w:rFonts w:hint="eastAsia" w:ascii="宋体" w:hAnsi="宋体" w:eastAsia="宋体" w:cs="宋体"/>
          <w:sz w:val="30"/>
          <w:szCs w:val="30"/>
        </w:rPr>
        <w:t>14</w:t>
      </w:r>
      <w:r>
        <w:rPr>
          <w:rFonts w:hint="eastAsia" w:ascii="宋体" w:hAnsi="宋体" w:eastAsia="宋体" w:cs="宋体"/>
          <w:sz w:val="30"/>
          <w:szCs w:val="30"/>
        </w:rPr>
        <w:fldChar w:fldCharType="end"/>
      </w:r>
      <w:r>
        <w:rPr>
          <w:rFonts w:hint="eastAsia" w:ascii="宋体" w:hAnsi="宋体" w:eastAsia="宋体" w:cs="宋体"/>
          <w:bCs/>
          <w:sz w:val="30"/>
          <w:szCs w:val="30"/>
        </w:rPr>
        <w:fldChar w:fldCharType="end"/>
      </w:r>
    </w:p>
    <w:p w14:paraId="38F9FB15">
      <w:pPr>
        <w:pStyle w:val="9"/>
        <w:tabs>
          <w:tab w:val="right" w:leader="dot" w:pos="8306"/>
        </w:tabs>
        <w:rPr>
          <w:rFonts w:hint="eastAsia" w:ascii="宋体" w:hAnsi="宋体" w:eastAsia="宋体" w:cs="宋体"/>
          <w:sz w:val="30"/>
          <w:szCs w:val="30"/>
        </w:rPr>
      </w:pPr>
      <w:r>
        <w:rPr>
          <w:rFonts w:hint="eastAsia" w:ascii="宋体" w:hAnsi="宋体" w:eastAsia="宋体" w:cs="宋体"/>
          <w:bCs/>
          <w:sz w:val="30"/>
          <w:szCs w:val="30"/>
        </w:rPr>
        <w:fldChar w:fldCharType="begin"/>
      </w:r>
      <w:r>
        <w:rPr>
          <w:rFonts w:hint="eastAsia" w:ascii="宋体" w:hAnsi="宋体" w:eastAsia="宋体" w:cs="宋体"/>
          <w:bCs/>
          <w:sz w:val="30"/>
          <w:szCs w:val="30"/>
        </w:rPr>
        <w:instrText xml:space="preserve"> HYPERLINK \l _Toc1894090036 </w:instrText>
      </w:r>
      <w:r>
        <w:rPr>
          <w:rFonts w:hint="eastAsia" w:ascii="宋体" w:hAnsi="宋体" w:eastAsia="宋体" w:cs="宋体"/>
          <w:bCs/>
          <w:sz w:val="30"/>
          <w:szCs w:val="30"/>
        </w:rPr>
        <w:fldChar w:fldCharType="separate"/>
      </w:r>
      <w:r>
        <w:rPr>
          <w:rFonts w:hint="eastAsia" w:ascii="宋体" w:hAnsi="宋体" w:eastAsia="宋体" w:cs="宋体"/>
          <w:sz w:val="30"/>
          <w:szCs w:val="30"/>
        </w:rPr>
        <w:t>参考文献</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_Toc1894090036 \h </w:instrText>
      </w:r>
      <w:r>
        <w:rPr>
          <w:rFonts w:hint="eastAsia" w:ascii="宋体" w:hAnsi="宋体" w:eastAsia="宋体" w:cs="宋体"/>
          <w:sz w:val="30"/>
          <w:szCs w:val="30"/>
        </w:rPr>
        <w:fldChar w:fldCharType="separate"/>
      </w:r>
      <w:r>
        <w:rPr>
          <w:rFonts w:hint="eastAsia" w:ascii="宋体" w:hAnsi="宋体" w:eastAsia="宋体" w:cs="宋体"/>
          <w:sz w:val="30"/>
          <w:szCs w:val="30"/>
        </w:rPr>
        <w:t>15</w:t>
      </w:r>
      <w:r>
        <w:rPr>
          <w:rFonts w:hint="eastAsia" w:ascii="宋体" w:hAnsi="宋体" w:eastAsia="宋体" w:cs="宋体"/>
          <w:sz w:val="30"/>
          <w:szCs w:val="30"/>
        </w:rPr>
        <w:fldChar w:fldCharType="end"/>
      </w:r>
      <w:r>
        <w:rPr>
          <w:rFonts w:hint="eastAsia" w:ascii="宋体" w:hAnsi="宋体" w:eastAsia="宋体" w:cs="宋体"/>
          <w:bCs/>
          <w:sz w:val="30"/>
          <w:szCs w:val="30"/>
        </w:rPr>
        <w:fldChar w:fldCharType="end"/>
      </w:r>
    </w:p>
    <w:p w14:paraId="4C5D4D45">
      <w:pPr>
        <w:pStyle w:val="9"/>
        <w:tabs>
          <w:tab w:val="right" w:leader="dot" w:pos="8306"/>
        </w:tabs>
        <w:rPr>
          <w:rFonts w:hint="eastAsia" w:ascii="宋体" w:hAnsi="宋体" w:eastAsia="宋体" w:cs="宋体"/>
          <w:sz w:val="30"/>
          <w:szCs w:val="30"/>
        </w:rPr>
      </w:pPr>
      <w:r>
        <w:rPr>
          <w:rFonts w:hint="eastAsia" w:ascii="宋体" w:hAnsi="宋体" w:eastAsia="宋体" w:cs="宋体"/>
          <w:bCs/>
          <w:sz w:val="30"/>
          <w:szCs w:val="30"/>
        </w:rPr>
        <w:fldChar w:fldCharType="begin"/>
      </w:r>
      <w:r>
        <w:rPr>
          <w:rFonts w:hint="eastAsia" w:ascii="宋体" w:hAnsi="宋体" w:eastAsia="宋体" w:cs="宋体"/>
          <w:bCs/>
          <w:sz w:val="30"/>
          <w:szCs w:val="30"/>
        </w:rPr>
        <w:instrText xml:space="preserve"> HYPERLINK \l _Toc1821135571 </w:instrText>
      </w:r>
      <w:r>
        <w:rPr>
          <w:rFonts w:hint="eastAsia" w:ascii="宋体" w:hAnsi="宋体" w:eastAsia="宋体" w:cs="宋体"/>
          <w:bCs/>
          <w:sz w:val="30"/>
          <w:szCs w:val="30"/>
        </w:rPr>
        <w:fldChar w:fldCharType="separate"/>
      </w:r>
      <w:r>
        <w:rPr>
          <w:rFonts w:hint="eastAsia" w:ascii="宋体" w:hAnsi="宋体" w:eastAsia="宋体" w:cs="宋体"/>
          <w:bCs/>
          <w:sz w:val="30"/>
          <w:szCs w:val="30"/>
        </w:rPr>
        <w:t>致谢</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_Toc1821135571 \h </w:instrText>
      </w:r>
      <w:r>
        <w:rPr>
          <w:rFonts w:hint="eastAsia" w:ascii="宋体" w:hAnsi="宋体" w:eastAsia="宋体" w:cs="宋体"/>
          <w:sz w:val="30"/>
          <w:szCs w:val="30"/>
        </w:rPr>
        <w:fldChar w:fldCharType="separate"/>
      </w:r>
      <w:r>
        <w:rPr>
          <w:rFonts w:hint="eastAsia" w:ascii="宋体" w:hAnsi="宋体" w:eastAsia="宋体" w:cs="宋体"/>
          <w:sz w:val="30"/>
          <w:szCs w:val="30"/>
        </w:rPr>
        <w:t>16</w:t>
      </w:r>
      <w:r>
        <w:rPr>
          <w:rFonts w:hint="eastAsia" w:ascii="宋体" w:hAnsi="宋体" w:eastAsia="宋体" w:cs="宋体"/>
          <w:sz w:val="30"/>
          <w:szCs w:val="30"/>
        </w:rPr>
        <w:fldChar w:fldCharType="end"/>
      </w:r>
      <w:r>
        <w:rPr>
          <w:rFonts w:hint="eastAsia" w:ascii="宋体" w:hAnsi="宋体" w:eastAsia="宋体" w:cs="宋体"/>
          <w:bCs/>
          <w:sz w:val="30"/>
          <w:szCs w:val="30"/>
        </w:rPr>
        <w:fldChar w:fldCharType="end"/>
      </w:r>
    </w:p>
    <w:p w14:paraId="56F415F4">
      <w:pPr>
        <w:jc w:val="left"/>
        <w:outlineLvl w:val="0"/>
        <w:rPr>
          <w:rFonts w:hint="eastAsia" w:asciiTheme="majorEastAsia" w:hAnsiTheme="majorEastAsia" w:eastAsiaTheme="majorEastAsia" w:cstheme="majorEastAsia"/>
          <w:b/>
          <w:bCs/>
          <w:sz w:val="30"/>
          <w:szCs w:val="30"/>
        </w:rPr>
      </w:pPr>
      <w:r>
        <w:rPr>
          <w:rFonts w:hint="eastAsia" w:asciiTheme="majorEastAsia" w:hAnsiTheme="majorEastAsia" w:eastAsiaTheme="majorEastAsia" w:cstheme="majorEastAsia"/>
          <w:bCs/>
          <w:szCs w:val="30"/>
        </w:rPr>
        <w:fldChar w:fldCharType="end"/>
      </w:r>
    </w:p>
    <w:p w14:paraId="6CFB13F2">
      <w:pPr>
        <w:spacing w:line="360" w:lineRule="auto"/>
        <w:jc w:val="left"/>
        <w:outlineLvl w:val="0"/>
        <w:rPr>
          <w:rFonts w:hint="eastAsia" w:asciiTheme="majorEastAsia" w:hAnsiTheme="majorEastAsia" w:eastAsiaTheme="majorEastAsia" w:cstheme="majorEastAsia"/>
          <w:b/>
          <w:bCs/>
          <w:sz w:val="28"/>
          <w:szCs w:val="28"/>
        </w:rPr>
      </w:pPr>
    </w:p>
    <w:p w14:paraId="773910BD">
      <w:pPr>
        <w:spacing w:line="360" w:lineRule="auto"/>
        <w:jc w:val="left"/>
        <w:outlineLvl w:val="0"/>
        <w:rPr>
          <w:rFonts w:hint="eastAsia" w:asciiTheme="majorEastAsia" w:hAnsiTheme="majorEastAsia" w:eastAsiaTheme="majorEastAsia" w:cstheme="majorEastAsia"/>
          <w:b/>
          <w:bCs/>
          <w:sz w:val="28"/>
          <w:szCs w:val="28"/>
        </w:rPr>
      </w:pPr>
    </w:p>
    <w:p w14:paraId="63441D2B">
      <w:pPr>
        <w:spacing w:line="360" w:lineRule="auto"/>
        <w:jc w:val="left"/>
        <w:outlineLvl w:val="0"/>
        <w:rPr>
          <w:rFonts w:hint="eastAsia" w:asciiTheme="majorEastAsia" w:hAnsiTheme="majorEastAsia" w:eastAsiaTheme="majorEastAsia" w:cstheme="majorEastAsia"/>
          <w:b/>
          <w:bCs/>
          <w:sz w:val="28"/>
          <w:szCs w:val="28"/>
        </w:rPr>
      </w:pPr>
    </w:p>
    <w:p w14:paraId="471FD3DC">
      <w:pPr>
        <w:spacing w:line="360" w:lineRule="auto"/>
        <w:jc w:val="left"/>
        <w:outlineLvl w:val="0"/>
        <w:rPr>
          <w:rFonts w:hint="eastAsia" w:asciiTheme="majorEastAsia" w:hAnsiTheme="majorEastAsia" w:eastAsiaTheme="majorEastAsia" w:cstheme="majorEastAsia"/>
          <w:b/>
          <w:bCs/>
          <w:sz w:val="28"/>
          <w:szCs w:val="28"/>
        </w:rPr>
      </w:pPr>
    </w:p>
    <w:p w14:paraId="2B0F8593">
      <w:pPr>
        <w:spacing w:line="360" w:lineRule="auto"/>
        <w:jc w:val="left"/>
        <w:outlineLvl w:val="0"/>
        <w:rPr>
          <w:rFonts w:hint="eastAsia" w:asciiTheme="majorEastAsia" w:hAnsiTheme="majorEastAsia" w:eastAsiaTheme="majorEastAsia" w:cstheme="majorEastAsia"/>
          <w:b/>
          <w:bCs/>
          <w:sz w:val="28"/>
          <w:szCs w:val="28"/>
        </w:rPr>
      </w:pPr>
    </w:p>
    <w:p w14:paraId="0D842C66">
      <w:pPr>
        <w:spacing w:line="360" w:lineRule="auto"/>
        <w:jc w:val="left"/>
        <w:outlineLvl w:val="0"/>
        <w:rPr>
          <w:rFonts w:hint="eastAsia" w:asciiTheme="majorEastAsia" w:hAnsiTheme="majorEastAsia" w:eastAsiaTheme="majorEastAsia" w:cstheme="majorEastAsia"/>
          <w:b/>
          <w:bCs/>
          <w:sz w:val="28"/>
          <w:szCs w:val="28"/>
        </w:rPr>
      </w:pPr>
    </w:p>
    <w:p w14:paraId="22A81049">
      <w:pPr>
        <w:spacing w:line="360" w:lineRule="auto"/>
        <w:jc w:val="left"/>
        <w:outlineLvl w:val="0"/>
        <w:rPr>
          <w:rFonts w:hint="eastAsia" w:asciiTheme="majorEastAsia" w:hAnsiTheme="majorEastAsia" w:eastAsiaTheme="majorEastAsia" w:cstheme="majorEastAsia"/>
          <w:b/>
          <w:bCs/>
          <w:sz w:val="28"/>
          <w:szCs w:val="28"/>
        </w:rPr>
      </w:pPr>
    </w:p>
    <w:p w14:paraId="24858215">
      <w:pPr>
        <w:spacing w:line="360" w:lineRule="auto"/>
        <w:jc w:val="left"/>
        <w:outlineLvl w:val="0"/>
        <w:rPr>
          <w:rFonts w:hint="eastAsia" w:asciiTheme="majorEastAsia" w:hAnsiTheme="majorEastAsia" w:eastAsiaTheme="majorEastAsia" w:cstheme="majorEastAsia"/>
          <w:b/>
          <w:bCs/>
          <w:sz w:val="28"/>
          <w:szCs w:val="28"/>
        </w:rPr>
      </w:pPr>
    </w:p>
    <w:p w14:paraId="6F82BE7D">
      <w:pPr>
        <w:spacing w:line="360" w:lineRule="auto"/>
        <w:jc w:val="left"/>
        <w:outlineLvl w:val="0"/>
        <w:rPr>
          <w:rFonts w:hint="eastAsia" w:asciiTheme="majorEastAsia" w:hAnsiTheme="majorEastAsia" w:eastAsiaTheme="majorEastAsia" w:cstheme="majorEastAsia"/>
          <w:b/>
          <w:bCs/>
          <w:sz w:val="28"/>
          <w:szCs w:val="28"/>
        </w:rPr>
      </w:pPr>
    </w:p>
    <w:p w14:paraId="05D2A931">
      <w:pPr>
        <w:spacing w:line="360" w:lineRule="auto"/>
        <w:jc w:val="left"/>
        <w:outlineLvl w:val="0"/>
        <w:rPr>
          <w:rFonts w:hint="eastAsia" w:asciiTheme="majorEastAsia" w:hAnsiTheme="majorEastAsia" w:eastAsiaTheme="majorEastAsia" w:cstheme="majorEastAsia"/>
          <w:b/>
          <w:bCs/>
          <w:sz w:val="28"/>
          <w:szCs w:val="28"/>
        </w:rPr>
      </w:pPr>
    </w:p>
    <w:p w14:paraId="79E498C8">
      <w:pPr>
        <w:spacing w:line="360" w:lineRule="auto"/>
        <w:jc w:val="both"/>
        <w:outlineLvl w:val="0"/>
        <w:rPr>
          <w:rFonts w:hint="eastAsia" w:ascii="黑体" w:hAnsi="黑体" w:eastAsia="黑体" w:cs="黑体"/>
          <w:b/>
          <w:bCs/>
          <w:sz w:val="30"/>
          <w:szCs w:val="30"/>
        </w:rPr>
        <w:sectPr>
          <w:headerReference r:id="rId3" w:type="default"/>
          <w:footerReference r:id="rId4" w:type="default"/>
          <w:pgSz w:w="11906" w:h="16838"/>
          <w:pgMar w:top="1440" w:right="1800" w:bottom="1440" w:left="1800" w:header="851" w:footer="992" w:gutter="0"/>
          <w:pgNumType w:fmt="upperRoman"/>
          <w:cols w:space="425" w:num="1"/>
          <w:docGrid w:type="lines" w:linePitch="312" w:charSpace="0"/>
        </w:sectPr>
      </w:pPr>
      <w:bookmarkStart w:id="8" w:name="_Toc1359060342"/>
      <w:bookmarkStart w:id="9" w:name="_Toc1124844409"/>
      <w:bookmarkStart w:id="10" w:name="_Toc194046008"/>
    </w:p>
    <w:p w14:paraId="51C62339">
      <w:pPr>
        <w:spacing w:line="360" w:lineRule="auto"/>
        <w:jc w:val="center"/>
        <w:outlineLvl w:val="0"/>
        <w:rPr>
          <w:rFonts w:hint="eastAsia" w:ascii="黑体" w:hAnsi="黑体" w:eastAsia="黑体" w:cs="黑体"/>
          <w:b/>
          <w:bCs/>
          <w:sz w:val="30"/>
          <w:szCs w:val="30"/>
        </w:rPr>
      </w:pPr>
      <w:bookmarkStart w:id="11" w:name="_Toc1001146461"/>
      <w:r>
        <w:rPr>
          <w:rFonts w:hint="eastAsia" w:ascii="黑体" w:hAnsi="黑体" w:eastAsia="黑体" w:cs="黑体"/>
          <w:b/>
          <w:bCs/>
          <w:sz w:val="30"/>
          <w:szCs w:val="30"/>
        </w:rPr>
        <w:t>第一章 绪论</w:t>
      </w:r>
      <w:bookmarkEnd w:id="8"/>
      <w:bookmarkEnd w:id="9"/>
      <w:bookmarkEnd w:id="10"/>
      <w:bookmarkEnd w:id="11"/>
    </w:p>
    <w:p w14:paraId="39421135">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1"/>
        <w:rPr>
          <w:rFonts w:hint="eastAsia" w:ascii="黑体" w:hAnsi="黑体" w:eastAsia="黑体" w:cs="黑体"/>
          <w:sz w:val="28"/>
          <w:szCs w:val="28"/>
        </w:rPr>
      </w:pPr>
      <w:bookmarkStart w:id="12" w:name="_Toc734195782"/>
      <w:bookmarkStart w:id="13" w:name="_Toc1091098502"/>
      <w:bookmarkStart w:id="14" w:name="_Toc1451080310"/>
      <w:bookmarkStart w:id="15" w:name="_Toc961437522"/>
      <w:r>
        <w:rPr>
          <w:rFonts w:hint="eastAsia" w:ascii="黑体" w:hAnsi="黑体" w:eastAsia="黑体" w:cs="黑体"/>
          <w:sz w:val="28"/>
          <w:szCs w:val="28"/>
        </w:rPr>
        <w:t>1.1 研究背景</w:t>
      </w:r>
      <w:bookmarkEnd w:id="12"/>
      <w:bookmarkEnd w:id="13"/>
      <w:bookmarkEnd w:id="14"/>
      <w:bookmarkEnd w:id="15"/>
    </w:p>
    <w:p w14:paraId="369AED61">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cstheme="minorEastAsia"/>
          <w:sz w:val="24"/>
        </w:rPr>
      </w:pPr>
      <w:r>
        <w:rPr>
          <w:rFonts w:hint="eastAsia" w:asciiTheme="minorEastAsia" w:hAnsiTheme="minorEastAsia" w:cstheme="minorEastAsia"/>
          <w:sz w:val="24"/>
        </w:rPr>
        <w:t>缅甸作为长年遭受自然灾害困扰的国家，其公共卫生和生态环境一直以来都面临着极大的挑战</w:t>
      </w:r>
      <w:r>
        <w:rPr>
          <w:rFonts w:hint="eastAsia" w:asciiTheme="minorEastAsia" w:hAnsiTheme="minorEastAsia" w:cstheme="minorEastAsia"/>
          <w:sz w:val="24"/>
          <w:lang w:eastAsia="zh"/>
        </w:rPr>
        <w:t>，曼德勒</w:t>
      </w:r>
      <w:r>
        <w:rPr>
          <w:rFonts w:hint="eastAsia" w:asciiTheme="minorEastAsia" w:hAnsiTheme="minorEastAsia" w:cstheme="minorEastAsia"/>
          <w:sz w:val="24"/>
        </w:rPr>
        <w:t>作为缅甸的第二大城市</w:t>
      </w:r>
      <w:r>
        <w:rPr>
          <w:rFonts w:hint="eastAsia" w:asciiTheme="minorEastAsia" w:hAnsiTheme="minorEastAsia" w:cstheme="minorEastAsia"/>
          <w:sz w:val="24"/>
          <w:lang w:eastAsia="zh"/>
        </w:rPr>
        <w:t>，拥有6500万的巨大</w:t>
      </w:r>
      <w:r>
        <w:rPr>
          <w:rFonts w:hint="eastAsia" w:asciiTheme="minorEastAsia" w:hAnsiTheme="minorEastAsia" w:cstheme="minorEastAsia"/>
          <w:sz w:val="24"/>
        </w:rPr>
        <w:t>人口，</w:t>
      </w:r>
      <w:r>
        <w:rPr>
          <w:rFonts w:hint="eastAsia" w:asciiTheme="minorEastAsia" w:hAnsiTheme="minorEastAsia" w:cstheme="minorEastAsia"/>
          <w:sz w:val="24"/>
          <w:lang w:eastAsia="zh"/>
        </w:rPr>
        <w:t>存在</w:t>
      </w:r>
      <w:r>
        <w:rPr>
          <w:rFonts w:hint="eastAsia" w:asciiTheme="minorEastAsia" w:hAnsiTheme="minorEastAsia" w:cstheme="minorEastAsia"/>
          <w:sz w:val="24"/>
        </w:rPr>
        <w:t>医疗设施和医疗资源过于集中在市中心</w:t>
      </w:r>
      <w:r>
        <w:rPr>
          <w:rFonts w:hint="eastAsia" w:asciiTheme="minorEastAsia" w:hAnsiTheme="minorEastAsia" w:cstheme="minorEastAsia"/>
          <w:sz w:val="24"/>
          <w:lang w:eastAsia="zh"/>
        </w:rPr>
        <w:t>、</w:t>
      </w:r>
      <w:r>
        <w:rPr>
          <w:rFonts w:hint="eastAsia" w:asciiTheme="minorEastAsia" w:hAnsiTheme="minorEastAsia" w:cstheme="minorEastAsia"/>
          <w:sz w:val="24"/>
        </w:rPr>
        <w:t>农村区域卫生院设施过于简陋</w:t>
      </w:r>
      <w:r>
        <w:rPr>
          <w:rFonts w:hint="eastAsia" w:asciiTheme="minorEastAsia" w:hAnsiTheme="minorEastAsia" w:cstheme="minorEastAsia"/>
          <w:sz w:val="24"/>
          <w:lang w:eastAsia="zh"/>
        </w:rPr>
        <w:t>、</w:t>
      </w:r>
      <w:r>
        <w:rPr>
          <w:rFonts w:hint="eastAsia" w:asciiTheme="minorEastAsia" w:hAnsiTheme="minorEastAsia" w:cstheme="minorEastAsia"/>
          <w:sz w:val="24"/>
        </w:rPr>
        <w:t>医护人员</w:t>
      </w:r>
      <w:r>
        <w:rPr>
          <w:rFonts w:hint="eastAsia" w:asciiTheme="minorEastAsia" w:hAnsiTheme="minorEastAsia" w:cstheme="minorEastAsia"/>
          <w:sz w:val="24"/>
          <w:lang w:eastAsia="zh"/>
        </w:rPr>
        <w:t>数量</w:t>
      </w:r>
      <w:r>
        <w:rPr>
          <w:rFonts w:hint="eastAsia" w:asciiTheme="minorEastAsia" w:hAnsiTheme="minorEastAsia" w:cstheme="minorEastAsia"/>
          <w:sz w:val="24"/>
        </w:rPr>
        <w:t>少</w:t>
      </w:r>
      <w:r>
        <w:rPr>
          <w:rFonts w:hint="eastAsia" w:asciiTheme="minorEastAsia" w:hAnsiTheme="minorEastAsia" w:cstheme="minorEastAsia"/>
          <w:sz w:val="24"/>
          <w:lang w:eastAsia="zh"/>
        </w:rPr>
        <w:t>、</w:t>
      </w:r>
      <w:r>
        <w:rPr>
          <w:rFonts w:hint="eastAsia" w:asciiTheme="minorEastAsia" w:hAnsiTheme="minorEastAsia" w:cstheme="minorEastAsia"/>
          <w:sz w:val="24"/>
        </w:rPr>
        <w:t>卫生安全宣传不到位</w:t>
      </w:r>
      <w:r>
        <w:rPr>
          <w:rFonts w:hint="eastAsia" w:asciiTheme="minorEastAsia" w:hAnsiTheme="minorEastAsia" w:cstheme="minorEastAsia"/>
          <w:sz w:val="24"/>
          <w:lang w:eastAsia="zh"/>
        </w:rPr>
        <w:t>等问题</w:t>
      </w:r>
      <w:r>
        <w:rPr>
          <w:rFonts w:hint="eastAsia" w:asciiTheme="minorEastAsia" w:hAnsiTheme="minorEastAsia" w:cstheme="minorEastAsia"/>
          <w:sz w:val="24"/>
        </w:rPr>
        <w:t>。2025年3月28日，在缅甸曼德勒发生了近年来震</w:t>
      </w:r>
      <w:r>
        <w:rPr>
          <w:rFonts w:hint="eastAsia" w:asciiTheme="minorEastAsia" w:hAnsiTheme="minorEastAsia" w:cstheme="minorEastAsia"/>
          <w:sz w:val="24"/>
          <w:lang w:eastAsia="zh"/>
        </w:rPr>
        <w:t>级比较高的地震，</w:t>
      </w:r>
      <w:r>
        <w:rPr>
          <w:rFonts w:hint="eastAsia" w:asciiTheme="minorEastAsia" w:hAnsiTheme="minorEastAsia" w:cstheme="minorEastAsia"/>
          <w:sz w:val="24"/>
        </w:rPr>
        <w:t>7.9级</w:t>
      </w:r>
      <w:r>
        <w:rPr>
          <w:rFonts w:hint="eastAsia" w:asciiTheme="minorEastAsia" w:hAnsiTheme="minorEastAsia" w:cstheme="minorEastAsia"/>
          <w:sz w:val="24"/>
          <w:lang w:eastAsia="zh"/>
        </w:rPr>
        <w:t>的</w:t>
      </w:r>
      <w:r>
        <w:rPr>
          <w:rFonts w:hint="eastAsia" w:asciiTheme="minorEastAsia" w:hAnsiTheme="minorEastAsia" w:cstheme="minorEastAsia"/>
          <w:sz w:val="24"/>
        </w:rPr>
        <w:t>强烈地震</w:t>
      </w:r>
      <w:r>
        <w:rPr>
          <w:rFonts w:hint="eastAsia" w:asciiTheme="minorEastAsia" w:hAnsiTheme="minorEastAsia" w:cstheme="minorEastAsia"/>
          <w:sz w:val="24"/>
          <w:lang w:eastAsia="zh"/>
        </w:rPr>
        <w:t>使</w:t>
      </w:r>
      <w:r>
        <w:rPr>
          <w:rFonts w:hint="eastAsia" w:asciiTheme="minorEastAsia" w:hAnsiTheme="minorEastAsia" w:cstheme="minorEastAsia"/>
          <w:sz w:val="24"/>
        </w:rPr>
        <w:t>人员</w:t>
      </w:r>
      <w:r>
        <w:rPr>
          <w:rFonts w:hint="eastAsia" w:asciiTheme="minorEastAsia" w:hAnsiTheme="minorEastAsia" w:cstheme="minorEastAsia"/>
          <w:sz w:val="24"/>
          <w:lang w:eastAsia="zh"/>
        </w:rPr>
        <w:t>安全</w:t>
      </w:r>
      <w:r>
        <w:rPr>
          <w:rFonts w:hint="eastAsia" w:asciiTheme="minorEastAsia" w:hAnsiTheme="minorEastAsia" w:cstheme="minorEastAsia"/>
          <w:sz w:val="24"/>
        </w:rPr>
        <w:t>和基础设施受到了严重的破坏。地震灾害后，灾区的</w:t>
      </w:r>
      <w:r>
        <w:rPr>
          <w:rFonts w:hint="eastAsia" w:asciiTheme="minorEastAsia" w:hAnsiTheme="minorEastAsia" w:cstheme="minorEastAsia"/>
          <w:sz w:val="24"/>
          <w:lang w:eastAsia="zh"/>
        </w:rPr>
        <w:t>生</w:t>
      </w:r>
      <w:r>
        <w:rPr>
          <w:rFonts w:hint="eastAsia" w:asciiTheme="minorEastAsia" w:hAnsiTheme="minorEastAsia" w:cstheme="minorEastAsia"/>
          <w:sz w:val="24"/>
        </w:rPr>
        <w:t>态环境惨遭破坏、水资源遭到严重污染、卫生设施瘫痪、灾民聚集等多个因素导致引发了霍乱、登革热、疟疾等传染病的暴发。截止于4月9日</w:t>
      </w:r>
      <w:r>
        <w:rPr>
          <w:rFonts w:hint="eastAsia" w:asciiTheme="minorEastAsia" w:hAnsiTheme="minorEastAsia" w:cstheme="minorEastAsia"/>
          <w:sz w:val="24"/>
          <w:lang w:eastAsia="zh"/>
        </w:rPr>
        <w:t>，</w:t>
      </w:r>
      <w:r>
        <w:rPr>
          <w:rFonts w:hint="eastAsia" w:asciiTheme="minorEastAsia" w:hAnsiTheme="minorEastAsia" w:cstheme="minorEastAsia"/>
          <w:sz w:val="24"/>
        </w:rPr>
        <w:t>地震的发生造成死亡人数3649人，受伤人数高达4508人，还有220</w:t>
      </w:r>
      <w:r>
        <w:rPr>
          <w:rFonts w:hint="eastAsia" w:asciiTheme="minorEastAsia" w:hAnsiTheme="minorEastAsia" w:cstheme="minorEastAsia"/>
          <w:sz w:val="24"/>
          <w:lang w:eastAsia="zh"/>
        </w:rPr>
        <w:t>位</w:t>
      </w:r>
      <w:r>
        <w:rPr>
          <w:rFonts w:hint="eastAsia" w:asciiTheme="minorEastAsia" w:hAnsiTheme="minorEastAsia" w:cstheme="minorEastAsia"/>
          <w:sz w:val="24"/>
        </w:rPr>
        <w:t>居民不知所踪</w:t>
      </w:r>
      <w:r>
        <w:rPr>
          <w:rFonts w:hint="eastAsia" w:asciiTheme="minorEastAsia" w:hAnsiTheme="minorEastAsia" w:cstheme="minorEastAsia"/>
          <w:sz w:val="24"/>
          <w:lang w:eastAsia="zh"/>
        </w:rPr>
        <w:t>，</w:t>
      </w:r>
      <w:r>
        <w:rPr>
          <w:rFonts w:hint="eastAsia" w:asciiTheme="minorEastAsia" w:hAnsiTheme="minorEastAsia" w:cstheme="minorEastAsia"/>
          <w:sz w:val="24"/>
        </w:rPr>
        <w:t>大量民众流离失所</w:t>
      </w:r>
      <w:r>
        <w:rPr>
          <w:rFonts w:hint="eastAsia" w:asciiTheme="minorEastAsia" w:hAnsiTheme="minorEastAsia" w:cstheme="minorEastAsia"/>
          <w:sz w:val="24"/>
          <w:lang w:eastAsia="zh"/>
        </w:rPr>
        <w:t>。在这样的情况下，</w:t>
      </w:r>
      <w:r>
        <w:rPr>
          <w:rFonts w:hint="eastAsia" w:asciiTheme="minorEastAsia" w:hAnsiTheme="minorEastAsia" w:cstheme="minorEastAsia"/>
          <w:sz w:val="24"/>
        </w:rPr>
        <w:t>震后的两周内出现霍乱、登革热、疟疾等传染病</w:t>
      </w:r>
      <w:r>
        <w:rPr>
          <w:rFonts w:hint="eastAsia" w:asciiTheme="minorEastAsia" w:hAnsiTheme="minorEastAsia" w:cstheme="minorEastAsia"/>
          <w:sz w:val="24"/>
          <w:lang w:eastAsia="zh"/>
        </w:rPr>
        <w:t>情况严重，</w:t>
      </w:r>
      <w:r>
        <w:rPr>
          <w:rFonts w:hint="eastAsia" w:asciiTheme="minorEastAsia" w:hAnsiTheme="minorEastAsia" w:cstheme="minorEastAsia"/>
          <w:sz w:val="24"/>
        </w:rPr>
        <w:t>是往年传染病的四倍之多。其中最严重的霍乱病去死亡率高达3.1%，因此可以看出地震灾害后迅速进行防疫行动的重要性。本研究主要是研究地震灾害后对于传染病的应急管理，为现阶段的救援以及对未来遇到相应地震灾害事件时</w:t>
      </w:r>
      <w:r>
        <w:rPr>
          <w:rFonts w:hint="eastAsia" w:asciiTheme="minorEastAsia" w:hAnsiTheme="minorEastAsia" w:cstheme="minorEastAsia"/>
          <w:sz w:val="24"/>
          <w:lang w:eastAsia="zh"/>
        </w:rPr>
        <w:t>提供参考</w:t>
      </w:r>
      <w:r>
        <w:rPr>
          <w:rFonts w:hint="eastAsia" w:asciiTheme="minorEastAsia" w:hAnsiTheme="minorEastAsia" w:cstheme="minorEastAsia"/>
          <w:sz w:val="24"/>
        </w:rPr>
        <w:t>，</w:t>
      </w:r>
      <w:r>
        <w:rPr>
          <w:rFonts w:hint="eastAsia" w:asciiTheme="minorEastAsia" w:hAnsiTheme="minorEastAsia" w:cstheme="minorEastAsia"/>
          <w:sz w:val="24"/>
          <w:lang w:eastAsia="zh"/>
        </w:rPr>
        <w:t>以求</w:t>
      </w:r>
      <w:r>
        <w:rPr>
          <w:rFonts w:hint="eastAsia" w:asciiTheme="minorEastAsia" w:hAnsiTheme="minorEastAsia" w:cstheme="minorEastAsia"/>
          <w:sz w:val="24"/>
        </w:rPr>
        <w:t>能</w:t>
      </w:r>
      <w:r>
        <w:rPr>
          <w:rFonts w:hint="eastAsia" w:asciiTheme="minorEastAsia" w:hAnsiTheme="minorEastAsia" w:cstheme="minorEastAsia"/>
          <w:sz w:val="24"/>
          <w:lang w:eastAsia="zh"/>
        </w:rPr>
        <w:t>及时</w:t>
      </w:r>
      <w:r>
        <w:rPr>
          <w:rFonts w:hint="eastAsia" w:asciiTheme="minorEastAsia" w:hAnsiTheme="minorEastAsia" w:cstheme="minorEastAsia"/>
          <w:sz w:val="24"/>
        </w:rPr>
        <w:t>进行</w:t>
      </w:r>
      <w:r>
        <w:rPr>
          <w:rFonts w:hint="eastAsia" w:asciiTheme="minorEastAsia" w:hAnsiTheme="minorEastAsia" w:cstheme="minorEastAsia"/>
          <w:sz w:val="24"/>
          <w:lang w:eastAsia="zh"/>
        </w:rPr>
        <w:t>有效的</w:t>
      </w:r>
      <w:r>
        <w:rPr>
          <w:rFonts w:hint="eastAsia" w:asciiTheme="minorEastAsia" w:hAnsiTheme="minorEastAsia" w:cstheme="minorEastAsia"/>
          <w:sz w:val="24"/>
        </w:rPr>
        <w:t>灾害防治。</w:t>
      </w:r>
    </w:p>
    <w:p w14:paraId="709174E2">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1"/>
        <w:rPr>
          <w:rFonts w:hint="eastAsia" w:ascii="黑体" w:hAnsi="黑体" w:eastAsia="黑体" w:cs="黑体"/>
          <w:sz w:val="28"/>
          <w:szCs w:val="28"/>
        </w:rPr>
      </w:pPr>
      <w:bookmarkStart w:id="16" w:name="_Toc187472412"/>
      <w:bookmarkStart w:id="17" w:name="_Toc1213472226"/>
      <w:bookmarkStart w:id="18" w:name="_Toc729661381"/>
      <w:bookmarkStart w:id="19" w:name="_Toc1482474838"/>
      <w:bookmarkStart w:id="20" w:name="_Toc627675488"/>
      <w:r>
        <w:rPr>
          <w:rFonts w:hint="eastAsia" w:ascii="黑体" w:hAnsi="黑体" w:eastAsia="黑体" w:cs="黑体"/>
          <w:sz w:val="28"/>
          <w:szCs w:val="28"/>
        </w:rPr>
        <w:t>1.2研究目的与意义</w:t>
      </w:r>
      <w:bookmarkEnd w:id="16"/>
      <w:bookmarkEnd w:id="17"/>
      <w:bookmarkEnd w:id="18"/>
      <w:bookmarkEnd w:id="19"/>
      <w:bookmarkEnd w:id="20"/>
    </w:p>
    <w:p w14:paraId="173DE95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黑体" w:hAnsi="黑体" w:eastAsia="黑体" w:cs="黑体"/>
          <w:sz w:val="28"/>
          <w:szCs w:val="28"/>
        </w:rPr>
      </w:pPr>
      <w:bookmarkStart w:id="21" w:name="_Toc849329772"/>
      <w:bookmarkStart w:id="22" w:name="_Toc175506823"/>
      <w:r>
        <w:rPr>
          <w:rFonts w:hint="eastAsia" w:ascii="黑体" w:hAnsi="黑体" w:eastAsia="黑体" w:cs="黑体"/>
          <w:sz w:val="28"/>
          <w:szCs w:val="28"/>
        </w:rPr>
        <w:t>1.2.1 研究目的</w:t>
      </w:r>
      <w:bookmarkEnd w:id="21"/>
      <w:bookmarkEnd w:id="22"/>
    </w:p>
    <w:p w14:paraId="3D2E0739">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cstheme="minorEastAsia"/>
          <w:sz w:val="24"/>
        </w:rPr>
      </w:pPr>
      <w:r>
        <w:rPr>
          <w:rFonts w:hint="eastAsia" w:asciiTheme="minorEastAsia" w:hAnsiTheme="minorEastAsia" w:cstheme="minorEastAsia"/>
          <w:sz w:val="24"/>
        </w:rPr>
        <w:t>对地震灾害后暴发传染病的主要原因和风险因素</w:t>
      </w:r>
      <w:r>
        <w:rPr>
          <w:rFonts w:hint="eastAsia" w:asciiTheme="minorEastAsia" w:hAnsiTheme="minorEastAsia" w:cstheme="minorEastAsia"/>
          <w:sz w:val="24"/>
          <w:lang w:eastAsia="zh"/>
        </w:rPr>
        <w:t>进行分析</w:t>
      </w:r>
      <w:r>
        <w:rPr>
          <w:rFonts w:hint="eastAsia" w:asciiTheme="minorEastAsia" w:hAnsiTheme="minorEastAsia" w:cstheme="minorEastAsia"/>
          <w:sz w:val="24"/>
        </w:rPr>
        <w:t>，整理出现有的应急管理措施，提出相应的建议和改进方法，</w:t>
      </w:r>
      <w:r>
        <w:rPr>
          <w:rFonts w:hint="eastAsia" w:asciiTheme="minorEastAsia" w:hAnsiTheme="minorEastAsia" w:cstheme="minorEastAsia"/>
          <w:sz w:val="24"/>
          <w:lang w:eastAsia="zh"/>
        </w:rPr>
        <w:t>为</w:t>
      </w:r>
      <w:r>
        <w:rPr>
          <w:rFonts w:hint="eastAsia" w:asciiTheme="minorEastAsia" w:hAnsiTheme="minorEastAsia" w:cstheme="minorEastAsia"/>
          <w:sz w:val="24"/>
        </w:rPr>
        <w:t>未来可能发生类似的，因地震灾害引发传染病的事件</w:t>
      </w:r>
      <w:r>
        <w:rPr>
          <w:rFonts w:hint="eastAsia" w:asciiTheme="minorEastAsia" w:hAnsiTheme="minorEastAsia" w:cstheme="minorEastAsia"/>
          <w:sz w:val="24"/>
          <w:lang w:eastAsia="zh"/>
        </w:rPr>
        <w:t>提供防疫方法。</w:t>
      </w:r>
    </w:p>
    <w:p w14:paraId="29D7F445">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cstheme="minorEastAsia"/>
          <w:sz w:val="24"/>
        </w:rPr>
      </w:pPr>
      <w:r>
        <w:rPr>
          <w:rFonts w:hint="eastAsia" w:asciiTheme="minorEastAsia" w:hAnsiTheme="minorEastAsia" w:cstheme="minorEastAsia"/>
          <w:sz w:val="24"/>
        </w:rPr>
        <w:t>研究地震灾后传染病传播的原因：比如应受到地震的影响基础的设施设备都遭到不同程度的损坏、地震周围的生态环境破坏严重、人类在自然灾害面前是无比脆弱的、医疗储备不足医疗团队本身也遭到了灾害的打击、这都是发生传染病的原因之一。</w:t>
      </w:r>
    </w:p>
    <w:p w14:paraId="5CC2B762">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cstheme="minorEastAsia"/>
          <w:sz w:val="24"/>
        </w:rPr>
      </w:pPr>
      <w:r>
        <w:rPr>
          <w:rFonts w:hint="eastAsia" w:asciiTheme="minorEastAsia" w:hAnsiTheme="minorEastAsia" w:cstheme="minorEastAsia"/>
          <w:sz w:val="24"/>
        </w:rPr>
        <w:t>现有的应急管理措施存在的局限性：通过对相应的典型的案例进行分析，中国的汶川地震、日本的“3.11”地震等得出的结论是，对可饮用水等保护、人类居住环境的卫生保护、细菌产生媒介的管理、医疗救助的实施水平、对风险的识别情况、应急资源的分配情况、各应急救援团队和组织的协作情况、都有一定的不足该如何改进。</w:t>
      </w:r>
    </w:p>
    <w:p w14:paraId="35020CE9">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黑体" w:hAnsi="黑体" w:eastAsia="黑体" w:cs="黑体"/>
          <w:sz w:val="28"/>
          <w:szCs w:val="28"/>
        </w:rPr>
      </w:pPr>
      <w:bookmarkStart w:id="23" w:name="_Toc361676395"/>
      <w:bookmarkStart w:id="24" w:name="_Toc1248126830"/>
      <w:r>
        <w:rPr>
          <w:rFonts w:hint="eastAsia" w:ascii="黑体" w:hAnsi="黑体" w:eastAsia="黑体" w:cs="黑体"/>
          <w:sz w:val="28"/>
          <w:szCs w:val="28"/>
        </w:rPr>
        <w:t>1.2.2 研究意义</w:t>
      </w:r>
      <w:bookmarkEnd w:id="23"/>
      <w:bookmarkEnd w:id="24"/>
    </w:p>
    <w:p w14:paraId="2AB6061C">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cstheme="minorEastAsia"/>
          <w:sz w:val="24"/>
        </w:rPr>
      </w:pPr>
      <w:r>
        <w:rPr>
          <w:rFonts w:hint="eastAsia" w:asciiTheme="minorEastAsia" w:hAnsiTheme="minorEastAsia" w:cstheme="minorEastAsia"/>
          <w:sz w:val="24"/>
        </w:rPr>
        <w:t>首先从理论意义上，能够丰富公共卫生应急管理理论体系，补充了东南亚所缺少的关于在高温环境下传染病防控的实践研究。其次对于实践意义这个层面，为缅甸和国际救援组织提供了决策的理论依据，使资源配置更加完善，更好的控制地震后传染病的传播，降低传染病暴发的风险，降低可能衍生出的次生灾害所带来的损失，确保灾后重建工作的顺利进行和加快重建进度。</w:t>
      </w:r>
    </w:p>
    <w:p w14:paraId="0D0D626A">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1"/>
        <w:rPr>
          <w:rFonts w:hint="eastAsia" w:ascii="黑体" w:hAnsi="黑体" w:eastAsia="黑体" w:cs="黑体"/>
          <w:sz w:val="28"/>
          <w:szCs w:val="28"/>
        </w:rPr>
      </w:pPr>
      <w:bookmarkStart w:id="25" w:name="_Toc1316449755"/>
      <w:bookmarkStart w:id="26" w:name="_Toc490318335"/>
      <w:bookmarkStart w:id="27" w:name="_Toc647367914"/>
    </w:p>
    <w:p w14:paraId="7F92816A">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1"/>
        <w:rPr>
          <w:rFonts w:hint="eastAsia" w:ascii="黑体" w:hAnsi="黑体" w:eastAsia="黑体" w:cs="黑体"/>
          <w:sz w:val="28"/>
          <w:szCs w:val="28"/>
        </w:rPr>
      </w:pPr>
    </w:p>
    <w:p w14:paraId="2415343E">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1"/>
        <w:rPr>
          <w:rFonts w:hint="eastAsia" w:ascii="黑体" w:hAnsi="黑体" w:eastAsia="黑体" w:cs="黑体"/>
          <w:sz w:val="28"/>
          <w:szCs w:val="28"/>
        </w:rPr>
      </w:pPr>
      <w:r>
        <w:rPr>
          <w:rFonts w:hint="eastAsia" w:ascii="黑体" w:hAnsi="黑体" w:eastAsia="黑体" w:cs="黑体"/>
          <w:sz w:val="28"/>
          <w:szCs w:val="28"/>
        </w:rPr>
        <w:t>1.3研究思路与技术路线</w:t>
      </w:r>
      <w:bookmarkEnd w:id="25"/>
      <w:bookmarkEnd w:id="26"/>
      <w:bookmarkEnd w:id="27"/>
    </w:p>
    <w:p w14:paraId="5C8200B8">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cstheme="minorEastAsia"/>
          <w:sz w:val="24"/>
        </w:rPr>
      </w:pPr>
      <w:r>
        <w:rPr>
          <w:rFonts w:hint="eastAsia" w:asciiTheme="minorEastAsia" w:hAnsiTheme="minorEastAsia" w:cstheme="minorEastAsia"/>
          <w:sz w:val="24"/>
        </w:rPr>
        <w:t>研究可以遵循“风险识别—机制分析—策略优化”的逻辑框架</w:t>
      </w:r>
    </w:p>
    <w:p w14:paraId="026276A7">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cstheme="minorEastAsia"/>
          <w:sz w:val="24"/>
        </w:rPr>
      </w:pPr>
      <w:r>
        <w:rPr>
          <w:rFonts w:hint="eastAsia" w:asciiTheme="minorEastAsia" w:hAnsiTheme="minorEastAsia" w:cstheme="minorEastAsia"/>
          <w:sz w:val="24"/>
        </w:rPr>
        <w:t>①可以通过参考相关报道文献，新闻报道，实地考察以及收集官方播报的数据分析，构建出地震灾害后传染病风险的数据库。</w:t>
      </w:r>
    </w:p>
    <w:p w14:paraId="166E960C">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cstheme="minorEastAsia"/>
          <w:sz w:val="24"/>
        </w:rPr>
      </w:pPr>
      <w:r>
        <w:rPr>
          <w:rFonts w:hint="eastAsia" w:asciiTheme="minorEastAsia" w:hAnsiTheme="minorEastAsia" w:cstheme="minorEastAsia"/>
          <w:sz w:val="24"/>
        </w:rPr>
        <w:t>②借助科技的力量利用SEIR技术模拟地震受灾情况和传染病的传播情况，结合GIS技术对受灾环境进行风险分析。</w:t>
      </w:r>
    </w:p>
    <w:p w14:paraId="2B7F18BD">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cstheme="minorEastAsia"/>
          <w:sz w:val="24"/>
        </w:rPr>
      </w:pPr>
      <w:r>
        <w:rPr>
          <w:rFonts w:hint="eastAsia" w:asciiTheme="minorEastAsia" w:hAnsiTheme="minorEastAsia" w:cstheme="minorEastAsia"/>
          <w:sz w:val="24"/>
        </w:rPr>
        <w:t>③采用扎根的理论，将各国的地震灾害救援行动，灾后传染病的应对措施的经验进行整合，再和自身的情况来进行对比，吸取经验和教训，为后续救灾、防传染病的传播提供了实践基础。</w:t>
      </w:r>
    </w:p>
    <w:p w14:paraId="45E4D4FD">
      <w:pPr>
        <w:keepNext w:val="0"/>
        <w:keepLines w:val="0"/>
        <w:pageBreakBefore w:val="0"/>
        <w:widowControl w:val="0"/>
        <w:kinsoku/>
        <w:wordWrap/>
        <w:overflowPunct/>
        <w:topLinePunct w:val="0"/>
        <w:autoSpaceDE/>
        <w:autoSpaceDN/>
        <w:bidi w:val="0"/>
        <w:adjustRightInd/>
        <w:snapToGrid/>
        <w:spacing w:line="240" w:lineRule="auto"/>
        <w:jc w:val="left"/>
        <w:textAlignment w:val="auto"/>
      </w:pPr>
    </w:p>
    <w:p w14:paraId="76CBCE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4"/>
        </w:rPr>
      </w:pPr>
      <w:r>
        <w:rPr>
          <w:rFonts w:hint="eastAsia"/>
          <w:sz w:val="24"/>
        </w:rPr>
        <w:t>技术相关图：</w:t>
      </w:r>
    </w:p>
    <w:p w14:paraId="03CED603">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rPr>
          <w:rFonts w:hint="eastAsia"/>
        </w:rPr>
        <w:drawing>
          <wp:inline distT="0" distB="0" distL="114300" distR="114300">
            <wp:extent cx="5335905" cy="2625090"/>
            <wp:effectExtent l="0" t="0" r="23495" b="16510"/>
            <wp:docPr id="3" name="图片 3" descr="2025-04-11 15:46:37.01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25-04-11 15:46:37.018000"/>
                    <pic:cNvPicPr>
                      <a:picLocks noChangeAspect="1"/>
                    </pic:cNvPicPr>
                  </pic:nvPicPr>
                  <pic:blipFill>
                    <a:blip r:embed="rId10"/>
                    <a:stretch>
                      <a:fillRect/>
                    </a:stretch>
                  </pic:blipFill>
                  <pic:spPr>
                    <a:xfrm>
                      <a:off x="0" y="0"/>
                      <a:ext cx="5335905" cy="2625090"/>
                    </a:xfrm>
                    <a:prstGeom prst="rect">
                      <a:avLst/>
                    </a:prstGeom>
                  </pic:spPr>
                </pic:pic>
              </a:graphicData>
            </a:graphic>
          </wp:inline>
        </w:drawing>
      </w:r>
      <w:r>
        <w:rPr>
          <w:rFonts w:hint="eastAsia"/>
        </w:rPr>
        <w:drawing>
          <wp:inline distT="0" distB="0" distL="114300" distR="114300">
            <wp:extent cx="4801235" cy="2700655"/>
            <wp:effectExtent l="0" t="0" r="24765" b="17145"/>
            <wp:docPr id="2" name="图片 2" descr="2025-04-11 15:45:55.83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25-04-11 15:45:55.835000"/>
                    <pic:cNvPicPr>
                      <a:picLocks noChangeAspect="1"/>
                    </pic:cNvPicPr>
                  </pic:nvPicPr>
                  <pic:blipFill>
                    <a:blip r:embed="rId11"/>
                    <a:stretch>
                      <a:fillRect/>
                    </a:stretch>
                  </pic:blipFill>
                  <pic:spPr>
                    <a:xfrm>
                      <a:off x="0" y="0"/>
                      <a:ext cx="4801235" cy="2700655"/>
                    </a:xfrm>
                    <a:prstGeom prst="rect">
                      <a:avLst/>
                    </a:prstGeom>
                  </pic:spPr>
                </pic:pic>
              </a:graphicData>
            </a:graphic>
          </wp:inline>
        </w:drawing>
      </w:r>
    </w:p>
    <w:p w14:paraId="0FFFA61C">
      <w:pPr>
        <w:rPr>
          <w:rFonts w:hint="eastAsia" w:ascii="黑体" w:hAnsi="黑体" w:eastAsia="黑体" w:cs="黑体"/>
          <w:sz w:val="28"/>
          <w:szCs w:val="28"/>
        </w:rPr>
      </w:pPr>
      <w:bookmarkStart w:id="28" w:name="_Toc1160374896"/>
      <w:bookmarkStart w:id="29" w:name="_Toc885502806"/>
      <w:bookmarkStart w:id="30" w:name="_Toc47017244"/>
      <w:r>
        <w:rPr>
          <w:rFonts w:hint="eastAsia" w:ascii="黑体" w:hAnsi="黑体" w:eastAsia="黑体" w:cs="黑体"/>
          <w:sz w:val="28"/>
          <w:szCs w:val="28"/>
        </w:rPr>
        <w:br w:type="page"/>
      </w:r>
    </w:p>
    <w:p w14:paraId="30F4D847">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1"/>
        <w:rPr>
          <w:rFonts w:hint="eastAsia" w:ascii="黑体" w:hAnsi="黑体" w:eastAsia="黑体" w:cs="黑体"/>
          <w:sz w:val="28"/>
          <w:szCs w:val="28"/>
        </w:rPr>
      </w:pPr>
      <w:r>
        <w:rPr>
          <w:rFonts w:hint="eastAsia" w:ascii="黑体" w:hAnsi="黑体" w:eastAsia="黑体" w:cs="黑体"/>
          <w:sz w:val="28"/>
          <w:szCs w:val="28"/>
        </w:rPr>
        <w:t>1.4国内外研究现状</w:t>
      </w:r>
      <w:bookmarkEnd w:id="28"/>
      <w:bookmarkEnd w:id="29"/>
      <w:bookmarkEnd w:id="30"/>
    </w:p>
    <w:p w14:paraId="3C19F58F">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cstheme="minorEastAsia"/>
          <w:sz w:val="24"/>
        </w:rPr>
      </w:pPr>
      <w:r>
        <w:rPr>
          <w:rFonts w:hint="eastAsia" w:asciiTheme="minorEastAsia" w:hAnsiTheme="minorEastAsia" w:cstheme="minorEastAsia"/>
          <w:sz w:val="24"/>
        </w:rPr>
        <w:t>近年来，国内外学者对于灾后防疫开展了大量研究，国外对于公共卫生的应急机制研究要早于国内，N.Dmgano</w:t>
      </w:r>
      <w:r>
        <w:rPr>
          <w:rFonts w:hint="eastAsia" w:asciiTheme="minorEastAsia" w:hAnsiTheme="minorEastAsia" w:cstheme="minorEastAsia"/>
          <w:sz w:val="24"/>
          <w:vertAlign w:val="superscript"/>
        </w:rPr>
        <w:fldChar w:fldCharType="begin"/>
      </w:r>
      <w:r>
        <w:rPr>
          <w:rFonts w:hint="eastAsia" w:asciiTheme="minorEastAsia" w:hAnsiTheme="minorEastAsia" w:cstheme="minorEastAsia"/>
          <w:sz w:val="24"/>
          <w:vertAlign w:val="superscript"/>
        </w:rPr>
        <w:instrText xml:space="preserve"> REF _Ref924514159 \r \h </w:instrText>
      </w:r>
      <w:r>
        <w:rPr>
          <w:rFonts w:hint="eastAsia" w:asciiTheme="minorEastAsia" w:hAnsiTheme="minorEastAsia" w:cstheme="minorEastAsia"/>
          <w:sz w:val="24"/>
          <w:vertAlign w:val="superscript"/>
        </w:rPr>
        <w:fldChar w:fldCharType="separate"/>
      </w:r>
      <w:r>
        <w:rPr>
          <w:rFonts w:hint="eastAsia" w:asciiTheme="minorEastAsia" w:hAnsiTheme="minorEastAsia" w:cstheme="minorEastAsia"/>
          <w:sz w:val="24"/>
          <w:vertAlign w:val="superscript"/>
        </w:rPr>
        <w:t>[1]</w:t>
      </w:r>
      <w:r>
        <w:rPr>
          <w:rFonts w:hint="eastAsia" w:asciiTheme="minorEastAsia" w:hAnsiTheme="minorEastAsia" w:cstheme="minorEastAsia"/>
          <w:sz w:val="24"/>
          <w:vertAlign w:val="superscript"/>
        </w:rPr>
        <w:fldChar w:fldCharType="end"/>
      </w:r>
      <w:r>
        <w:rPr>
          <w:rFonts w:hint="eastAsia" w:asciiTheme="minorEastAsia" w:hAnsiTheme="minorEastAsia" w:cstheme="minorEastAsia"/>
          <w:sz w:val="24"/>
        </w:rPr>
        <w:t>对美国国内公共卫生应急体系做出了具体分析，提出美国需建立三级公共卫生应急机制应急体系。现有研究集中于灾后传染病暴发机制、应急资源调度优化、霍乱的起源和登革热的传播机制，以下梳理相关理论的代表性成果：</w:t>
      </w:r>
    </w:p>
    <w:p w14:paraId="4AEE39A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黑体" w:hAnsi="黑体" w:eastAsia="黑体" w:cs="黑体"/>
          <w:sz w:val="28"/>
          <w:szCs w:val="28"/>
        </w:rPr>
      </w:pPr>
      <w:bookmarkStart w:id="31" w:name="_Toc2092321459"/>
      <w:bookmarkStart w:id="32" w:name="_Toc1121878665"/>
      <w:r>
        <w:rPr>
          <w:rFonts w:hint="eastAsia" w:ascii="黑体" w:hAnsi="黑体" w:eastAsia="黑体" w:cs="黑体"/>
          <w:sz w:val="28"/>
          <w:szCs w:val="28"/>
        </w:rPr>
        <w:t>1.4.1灾后传染病暴发的原因</w:t>
      </w:r>
      <w:bookmarkEnd w:id="31"/>
      <w:bookmarkEnd w:id="32"/>
    </w:p>
    <w:p w14:paraId="3026992E">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cstheme="minorEastAsia"/>
          <w:sz w:val="24"/>
        </w:rPr>
      </w:pPr>
      <w:r>
        <w:rPr>
          <w:rFonts w:hint="eastAsia" w:asciiTheme="minorEastAsia" w:hAnsiTheme="minorEastAsia" w:cstheme="minorEastAsia"/>
          <w:sz w:val="24"/>
        </w:rPr>
        <w:t xml:space="preserve"> “古话说：“大灾之后，必有大疫”，意思是指在发生暴雨、洪涝、地震等大的自然灾害之后，很容易出现各种传染病疫情，一定要做好防疫工作。</w:t>
      </w:r>
    </w:p>
    <w:p w14:paraId="53CF4790">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cstheme="minorEastAsia"/>
          <w:sz w:val="24"/>
        </w:rPr>
      </w:pPr>
      <w:r>
        <w:rPr>
          <w:rFonts w:hint="eastAsia" w:asciiTheme="minorEastAsia" w:hAnsiTheme="minorEastAsia" w:cstheme="minorEastAsia"/>
          <w:sz w:val="24"/>
        </w:rPr>
        <w:t>①传染源增加：如在经过地震、洪水等自然灾害后，容易出现尸体大量腐败的情况，从而滋生出大量的细菌蚊虫的情况。水源污染如人类和动物的粪便，还有有害的化学物质，加大了人类得霍乱、疟疾、登革热等水源性传染病的风险。</w:t>
      </w:r>
    </w:p>
    <w:p w14:paraId="51F92E96">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cstheme="minorEastAsia"/>
          <w:sz w:val="24"/>
        </w:rPr>
      </w:pPr>
      <w:r>
        <w:rPr>
          <w:rFonts w:hint="eastAsia" w:asciiTheme="minorEastAsia" w:hAnsiTheme="minorEastAsia" w:cstheme="minorEastAsia"/>
          <w:sz w:val="24"/>
        </w:rPr>
        <w:t>②呼吸道传染病：如流感、COVID-19，通常是因为安置地点的人口众多，空气不流通，加上交流时的飞沫传染，严重的情况下还有可能引发肺炎等并发症，在安置点的长期居住，身体得不到锻炼体质变弱，特别是那些营养不良的人群还有可能引发肺结核。</w:t>
      </w:r>
    </w:p>
    <w:p w14:paraId="5F7D1113">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cstheme="minorEastAsia"/>
          <w:sz w:val="24"/>
        </w:rPr>
      </w:pPr>
      <w:r>
        <w:rPr>
          <w:rFonts w:hint="eastAsia" w:asciiTheme="minorEastAsia" w:hAnsiTheme="minorEastAsia" w:cstheme="minorEastAsia"/>
          <w:sz w:val="24"/>
        </w:rPr>
        <w:t>③病媒介传播疾病：洪水灾害过后，会留下大量的积水点，在热带地区高温的催动下，还会时蚊虫迅速繁殖，患登革热和疟疾的风险也会大大提高。</w:t>
      </w:r>
    </w:p>
    <w:p w14:paraId="5C04E4E9">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cstheme="minorEastAsia"/>
          <w:sz w:val="24"/>
        </w:rPr>
      </w:pPr>
      <w:r>
        <w:rPr>
          <w:rFonts w:hint="eastAsia" w:asciiTheme="minorEastAsia" w:hAnsiTheme="minorEastAsia" w:cstheme="minorEastAsia"/>
          <w:sz w:val="24"/>
        </w:rPr>
        <w:t>④接触性传染病：皮肤方面的疾病如脓胞疮，这是由于卫生条件过差导致伤口被链球菌或葡糖球菌感染。伤口长期暴露在土壤中的破伤风梭菌还会引发破伤风，为了防止破伤风灾后必须接种破伤风疫苗。</w:t>
      </w:r>
    </w:p>
    <w:p w14:paraId="42CEA4C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黑体" w:hAnsi="黑体" w:eastAsia="黑体" w:cs="黑体"/>
          <w:sz w:val="28"/>
          <w:szCs w:val="28"/>
        </w:rPr>
      </w:pPr>
      <w:bookmarkStart w:id="33" w:name="_Toc602041788"/>
      <w:bookmarkStart w:id="34" w:name="_Toc508301995"/>
      <w:r>
        <w:rPr>
          <w:rFonts w:hint="eastAsia" w:ascii="黑体" w:hAnsi="黑体" w:eastAsia="黑体" w:cs="黑体"/>
          <w:sz w:val="28"/>
          <w:szCs w:val="28"/>
        </w:rPr>
        <w:t>1.4.2应急资源调度优化</w:t>
      </w:r>
      <w:bookmarkEnd w:id="33"/>
      <w:bookmarkEnd w:id="34"/>
    </w:p>
    <w:p w14:paraId="0C940983">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cstheme="minorEastAsia"/>
          <w:sz w:val="24"/>
        </w:rPr>
      </w:pPr>
      <w:r>
        <w:rPr>
          <w:rFonts w:hint="eastAsia" w:asciiTheme="minorEastAsia" w:hAnsiTheme="minorEastAsia" w:cstheme="minorEastAsia"/>
          <w:sz w:val="24"/>
        </w:rPr>
        <w:t xml:space="preserve"> </w:t>
      </w:r>
      <w:r>
        <w:rPr>
          <w:rFonts w:hint="eastAsia" w:asciiTheme="minorEastAsia" w:hAnsiTheme="minorEastAsia" w:cstheme="minorEastAsia"/>
          <w:color w:val="FF0000"/>
          <w:sz w:val="24"/>
        </w:rPr>
        <w:t xml:space="preserve"> </w:t>
      </w:r>
      <w:r>
        <w:rPr>
          <w:rFonts w:hint="eastAsia" w:asciiTheme="minorEastAsia" w:hAnsiTheme="minorEastAsia" w:cstheme="minorEastAsia"/>
          <w:sz w:val="24"/>
        </w:rPr>
        <w:t>“为在地震发生后快速配送应急物资,减小人员伤亡及灾害影响范围,建立公众期望的伤亡最小化人数的应急救援模型。</w:t>
      </w:r>
      <w:r>
        <w:rPr>
          <w:rFonts w:hint="eastAsia" w:asciiTheme="minorEastAsia" w:hAnsiTheme="minorEastAsia" w:cstheme="minorEastAsia"/>
          <w:sz w:val="24"/>
          <w:vertAlign w:val="superscript"/>
        </w:rPr>
        <w:fldChar w:fldCharType="begin"/>
      </w:r>
      <w:r>
        <w:rPr>
          <w:rFonts w:hint="eastAsia" w:asciiTheme="minorEastAsia" w:hAnsiTheme="minorEastAsia" w:cstheme="minorEastAsia"/>
          <w:sz w:val="24"/>
          <w:vertAlign w:val="superscript"/>
        </w:rPr>
        <w:instrText xml:space="preserve"> REF _Ref925438544 \r \h </w:instrText>
      </w:r>
      <w:r>
        <w:rPr>
          <w:rFonts w:hint="eastAsia" w:asciiTheme="minorEastAsia" w:hAnsiTheme="minorEastAsia" w:cstheme="minorEastAsia"/>
          <w:sz w:val="24"/>
          <w:vertAlign w:val="superscript"/>
        </w:rPr>
        <w:fldChar w:fldCharType="separate"/>
      </w:r>
      <w:r>
        <w:rPr>
          <w:rFonts w:hint="eastAsia" w:asciiTheme="minorEastAsia" w:hAnsiTheme="minorEastAsia" w:cstheme="minorEastAsia"/>
          <w:sz w:val="24"/>
          <w:vertAlign w:val="superscript"/>
        </w:rPr>
        <w:t>[2]</w:t>
      </w:r>
      <w:r>
        <w:rPr>
          <w:rFonts w:hint="eastAsia" w:asciiTheme="minorEastAsia" w:hAnsiTheme="minorEastAsia" w:cstheme="minorEastAsia"/>
          <w:sz w:val="24"/>
          <w:vertAlign w:val="superscript"/>
        </w:rPr>
        <w:fldChar w:fldCharType="end"/>
      </w:r>
      <w:r>
        <w:rPr>
          <w:rFonts w:hint="eastAsia" w:asciiTheme="minorEastAsia" w:hAnsiTheme="minorEastAsia" w:cstheme="minorEastAsia"/>
          <w:sz w:val="24"/>
        </w:rPr>
        <w:t>在模型中考虑应急救援医院和应急灾民安置点的能力扩展,应急物资的储备,灾民从灾害点到安置点的转移,伤员从灾害点到应急救援医院的转移”。Chen</w:t>
      </w:r>
      <w:r>
        <w:rPr>
          <w:rFonts w:hint="eastAsia" w:asciiTheme="minorEastAsia" w:hAnsiTheme="minorEastAsia" w:cstheme="minorEastAsia"/>
          <w:sz w:val="24"/>
          <w:vertAlign w:val="superscript"/>
        </w:rPr>
        <w:fldChar w:fldCharType="begin"/>
      </w:r>
      <w:r>
        <w:rPr>
          <w:rFonts w:hint="eastAsia" w:asciiTheme="minorEastAsia" w:hAnsiTheme="minorEastAsia" w:cstheme="minorEastAsia"/>
          <w:sz w:val="24"/>
          <w:vertAlign w:val="superscript"/>
        </w:rPr>
        <w:instrText xml:space="preserve"> REF _Ref925589807 \r \h </w:instrText>
      </w:r>
      <w:r>
        <w:rPr>
          <w:rFonts w:hint="eastAsia" w:asciiTheme="minorEastAsia" w:hAnsiTheme="minorEastAsia" w:cstheme="minorEastAsia"/>
          <w:sz w:val="24"/>
          <w:vertAlign w:val="superscript"/>
        </w:rPr>
        <w:fldChar w:fldCharType="separate"/>
      </w:r>
      <w:r>
        <w:rPr>
          <w:rFonts w:hint="eastAsia" w:asciiTheme="minorEastAsia" w:hAnsiTheme="minorEastAsia" w:cstheme="minorEastAsia"/>
          <w:sz w:val="24"/>
          <w:vertAlign w:val="superscript"/>
        </w:rPr>
        <w:t>[3]</w:t>
      </w:r>
      <w:r>
        <w:rPr>
          <w:rFonts w:hint="eastAsia" w:asciiTheme="minorEastAsia" w:hAnsiTheme="minorEastAsia" w:cstheme="minorEastAsia"/>
          <w:sz w:val="24"/>
          <w:vertAlign w:val="superscript"/>
        </w:rPr>
        <w:fldChar w:fldCharType="end"/>
      </w:r>
      <w:r>
        <w:rPr>
          <w:rFonts w:hint="eastAsia" w:asciiTheme="minorEastAsia" w:hAnsiTheme="minorEastAsia" w:cstheme="minorEastAsia"/>
          <w:sz w:val="24"/>
        </w:rPr>
        <w:t>等提出促进和完善医疗卫生服务体系的建议，在发生地震、洪灾等自然灾害后，在最短时间内，将现有并有限的资源如人力、设备、物料等进行最大限度的调配，精确投放到各个需要的受灾地区，力求达到挽救生命、减少损失、灾后恢复等目的，重点在于对快速评估灾情，预测需求、划分资源分配优先级、优化运输路径等。</w:t>
      </w:r>
    </w:p>
    <w:p w14:paraId="263DA84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黑体" w:hAnsi="黑体" w:eastAsia="黑体" w:cs="黑体"/>
          <w:sz w:val="28"/>
          <w:szCs w:val="28"/>
        </w:rPr>
      </w:pPr>
      <w:bookmarkStart w:id="35" w:name="_Toc1720869899"/>
      <w:bookmarkStart w:id="36" w:name="_Toc341682199"/>
      <w:r>
        <w:rPr>
          <w:rFonts w:hint="eastAsia" w:ascii="黑体" w:hAnsi="黑体" w:eastAsia="黑体" w:cs="黑体"/>
          <w:sz w:val="28"/>
          <w:szCs w:val="28"/>
        </w:rPr>
        <w:t>1.4.3霍乱的起源和登革热的传播机制</w:t>
      </w:r>
      <w:bookmarkEnd w:id="35"/>
      <w:bookmarkEnd w:id="36"/>
    </w:p>
    <w:p w14:paraId="3BA13B57">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cstheme="minorEastAsia"/>
          <w:sz w:val="24"/>
        </w:rPr>
      </w:pPr>
      <w:r>
        <w:rPr>
          <w:rFonts w:hint="eastAsia" w:asciiTheme="minorEastAsia" w:hAnsiTheme="minorEastAsia" w:cstheme="minorEastAsia"/>
          <w:sz w:val="24"/>
        </w:rPr>
        <w:t>印度的恒河三角洲地区一般被认为是霍乱的起源地。因印度有水葬习俗，即人死后不入土，尸体被抛入恒河顺流而下，极易造成霍乱等瘟疫流行。登革热是由登革病毒引起的急性虫媒传染病，主要通过伊蚊叮咬传播，与病毒载体、病毒特性、传播机制、人群易感性有关。当携带登革病毒的伊蚊叮咬人体时，病毒进入血液并在体内大量繁殖，进而引发疾病。</w:t>
      </w:r>
    </w:p>
    <w:p w14:paraId="2285CB60">
      <w:pPr>
        <w:rPr>
          <w:rFonts w:hint="eastAsia" w:ascii="黑体" w:hAnsi="黑体" w:eastAsia="黑体" w:cs="黑体"/>
          <w:b/>
          <w:bCs/>
          <w:sz w:val="30"/>
          <w:szCs w:val="30"/>
        </w:rPr>
      </w:pPr>
      <w:bookmarkStart w:id="37" w:name="_Toc1287206097"/>
      <w:bookmarkStart w:id="38" w:name="_Toc281446515"/>
      <w:bookmarkStart w:id="39" w:name="_Toc350634697"/>
      <w:bookmarkStart w:id="40" w:name="_Toc583986732"/>
      <w:r>
        <w:rPr>
          <w:rFonts w:hint="eastAsia" w:ascii="黑体" w:hAnsi="黑体" w:eastAsia="黑体" w:cs="黑体"/>
          <w:b/>
          <w:bCs/>
          <w:sz w:val="30"/>
          <w:szCs w:val="30"/>
        </w:rPr>
        <w:br w:type="page"/>
      </w:r>
    </w:p>
    <w:p w14:paraId="6F9BC5D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黑体" w:hAnsi="黑体" w:eastAsia="黑体" w:cs="黑体"/>
          <w:b/>
          <w:bCs/>
          <w:sz w:val="30"/>
          <w:szCs w:val="30"/>
        </w:rPr>
      </w:pPr>
      <w:r>
        <w:rPr>
          <w:rFonts w:hint="eastAsia" w:ascii="黑体" w:hAnsi="黑体" w:eastAsia="黑体" w:cs="黑体"/>
          <w:b/>
          <w:bCs/>
          <w:sz w:val="30"/>
          <w:szCs w:val="30"/>
        </w:rPr>
        <w:t>第二章 相关概念及理论基础</w:t>
      </w:r>
      <w:bookmarkEnd w:id="37"/>
      <w:bookmarkEnd w:id="38"/>
      <w:bookmarkEnd w:id="39"/>
      <w:bookmarkEnd w:id="40"/>
    </w:p>
    <w:p w14:paraId="46017AC8">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1"/>
        <w:rPr>
          <w:rFonts w:hint="eastAsia" w:ascii="黑体" w:hAnsi="黑体" w:eastAsia="黑体" w:cs="黑体"/>
          <w:sz w:val="28"/>
          <w:szCs w:val="28"/>
        </w:rPr>
      </w:pPr>
      <w:bookmarkStart w:id="41" w:name="_Toc422225111"/>
      <w:bookmarkStart w:id="42" w:name="_Toc1512586911"/>
      <w:bookmarkStart w:id="43" w:name="_Toc1064737934"/>
      <w:bookmarkStart w:id="44" w:name="_Toc322612401"/>
      <w:r>
        <w:rPr>
          <w:rFonts w:hint="eastAsia" w:ascii="黑体" w:hAnsi="黑体" w:eastAsia="黑体" w:cs="黑体"/>
          <w:sz w:val="28"/>
          <w:szCs w:val="28"/>
        </w:rPr>
        <w:t>2.1相关概念界定</w:t>
      </w:r>
      <w:bookmarkEnd w:id="41"/>
      <w:bookmarkEnd w:id="42"/>
      <w:bookmarkEnd w:id="43"/>
      <w:bookmarkEnd w:id="44"/>
    </w:p>
    <w:p w14:paraId="41D034FB">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2"/>
        <w:rPr>
          <w:rFonts w:hint="eastAsia" w:ascii="黑体" w:hAnsi="黑体" w:eastAsia="黑体" w:cs="黑体"/>
          <w:sz w:val="28"/>
          <w:szCs w:val="28"/>
        </w:rPr>
      </w:pPr>
      <w:bookmarkStart w:id="45" w:name="_Toc1755825485"/>
      <w:bookmarkStart w:id="46" w:name="_Toc1927041960"/>
      <w:bookmarkStart w:id="47" w:name="_Toc739088091"/>
      <w:bookmarkStart w:id="48" w:name="_Toc136799991"/>
      <w:bookmarkStart w:id="49" w:name="_Toc1897898579"/>
      <w:bookmarkStart w:id="50" w:name="_Toc1051470889"/>
      <w:bookmarkStart w:id="51" w:name="_Toc152182433"/>
      <w:r>
        <w:rPr>
          <w:rFonts w:hint="eastAsia" w:ascii="黑体" w:hAnsi="黑体" w:eastAsia="黑体" w:cs="黑体"/>
          <w:sz w:val="28"/>
          <w:szCs w:val="28"/>
        </w:rPr>
        <w:t>2.1.1应急管理</w:t>
      </w:r>
      <w:bookmarkEnd w:id="45"/>
      <w:bookmarkEnd w:id="46"/>
      <w:bookmarkEnd w:id="47"/>
      <w:bookmarkEnd w:id="48"/>
      <w:bookmarkEnd w:id="49"/>
      <w:bookmarkEnd w:id="50"/>
      <w:bookmarkEnd w:id="51"/>
    </w:p>
    <w:p w14:paraId="6B8D515B">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cstheme="minorEastAsia"/>
          <w:sz w:val="24"/>
        </w:rPr>
      </w:pPr>
      <w:r>
        <w:rPr>
          <w:rFonts w:hint="eastAsia" w:asciiTheme="minorEastAsia" w:hAnsiTheme="minorEastAsia" w:cstheme="minorEastAsia"/>
          <w:sz w:val="24"/>
        </w:rPr>
        <w:t>应急管理是指政府、企业及其他公共机构通过建立应对机制和采取必要措施，对突发事件的全生命周期（包括事前预防、事发应对、事中处置和事后恢复）进行系统性管理，以保障公众生命财产安全、维护社会秩序和促进可持续发展的活动</w:t>
      </w:r>
      <w:r>
        <w:rPr>
          <w:rFonts w:hint="eastAsia" w:asciiTheme="minorEastAsia" w:hAnsiTheme="minorEastAsia" w:cstheme="minorEastAsia"/>
          <w:sz w:val="24"/>
          <w:vertAlign w:val="superscript"/>
        </w:rPr>
        <w:fldChar w:fldCharType="begin"/>
      </w:r>
      <w:r>
        <w:rPr>
          <w:rFonts w:hint="eastAsia" w:asciiTheme="minorEastAsia" w:hAnsiTheme="minorEastAsia" w:cstheme="minorEastAsia"/>
          <w:sz w:val="24"/>
          <w:vertAlign w:val="superscript"/>
        </w:rPr>
        <w:instrText xml:space="preserve"> REF _Ref927304121 \r \h </w:instrText>
      </w:r>
      <w:r>
        <w:rPr>
          <w:rFonts w:hint="eastAsia" w:asciiTheme="minorEastAsia" w:hAnsiTheme="minorEastAsia" w:cstheme="minorEastAsia"/>
          <w:sz w:val="24"/>
          <w:vertAlign w:val="superscript"/>
        </w:rPr>
        <w:fldChar w:fldCharType="separate"/>
      </w:r>
      <w:r>
        <w:rPr>
          <w:rFonts w:hint="eastAsia" w:asciiTheme="minorEastAsia" w:hAnsiTheme="minorEastAsia" w:cstheme="minorEastAsia"/>
          <w:sz w:val="24"/>
          <w:vertAlign w:val="superscript"/>
        </w:rPr>
        <w:t>[4]</w:t>
      </w:r>
      <w:r>
        <w:rPr>
          <w:rFonts w:hint="eastAsia" w:asciiTheme="minorEastAsia" w:hAnsiTheme="minorEastAsia" w:cstheme="minorEastAsia"/>
          <w:sz w:val="24"/>
          <w:vertAlign w:val="superscript"/>
        </w:rPr>
        <w:fldChar w:fldCharType="end"/>
      </w:r>
      <w:r>
        <w:rPr>
          <w:rFonts w:hint="eastAsia" w:asciiTheme="minorEastAsia" w:hAnsiTheme="minorEastAsia" w:cstheme="minorEastAsia"/>
          <w:sz w:val="24"/>
        </w:rPr>
        <w:t>。</w:t>
      </w:r>
    </w:p>
    <w:p w14:paraId="2776F789">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2"/>
        <w:rPr>
          <w:rFonts w:hint="eastAsia" w:ascii="黑体" w:hAnsi="黑体" w:eastAsia="黑体" w:cs="黑体"/>
          <w:sz w:val="28"/>
          <w:szCs w:val="28"/>
        </w:rPr>
      </w:pPr>
      <w:bookmarkStart w:id="52" w:name="_Toc77127854"/>
      <w:bookmarkStart w:id="53" w:name="_Toc1389946447"/>
      <w:bookmarkStart w:id="54" w:name="_Toc1586132968"/>
      <w:bookmarkStart w:id="55" w:name="_Toc1593341313"/>
      <w:bookmarkStart w:id="56" w:name="_Toc808131189"/>
      <w:bookmarkStart w:id="57" w:name="_Toc1406808362"/>
      <w:bookmarkStart w:id="58" w:name="_Toc428300260"/>
      <w:r>
        <w:rPr>
          <w:rFonts w:hint="eastAsia" w:ascii="黑体" w:hAnsi="黑体" w:eastAsia="黑体" w:cs="黑体"/>
          <w:sz w:val="28"/>
          <w:szCs w:val="28"/>
        </w:rPr>
        <w:t>2.1.2灾后传染病</w:t>
      </w:r>
      <w:bookmarkEnd w:id="52"/>
      <w:bookmarkEnd w:id="53"/>
      <w:bookmarkEnd w:id="54"/>
      <w:bookmarkEnd w:id="55"/>
      <w:bookmarkEnd w:id="56"/>
      <w:bookmarkEnd w:id="57"/>
      <w:bookmarkEnd w:id="58"/>
    </w:p>
    <w:p w14:paraId="1A0316C4">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cstheme="minorEastAsia"/>
          <w:sz w:val="24"/>
        </w:rPr>
      </w:pPr>
      <w:r>
        <w:rPr>
          <w:rFonts w:hint="eastAsia" w:asciiTheme="minorEastAsia" w:hAnsiTheme="minorEastAsia" w:cstheme="minorEastAsia"/>
          <w:sz w:val="24"/>
        </w:rPr>
        <w:t>灾后传染病的形成是指自然灾害例如（地震、台风、泥石流、山体滑坡等）非人为因素影响的灾难。人类的生存环境遭到不可控因素的影响、环境严重破坏、在灾后重建过程中悄然发生的一种危害，其原因是生活环境遭到严重的破坏，生态平衡被打破，卫生不达标不能及时处理。受细菌的滋生的影响所造成的传染病的发生。对人体产生危害降低人体的免疫力。</w:t>
      </w:r>
    </w:p>
    <w:p w14:paraId="038D286F">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2"/>
        <w:rPr>
          <w:rFonts w:hint="eastAsia" w:ascii="黑体" w:hAnsi="黑体" w:eastAsia="黑体" w:cs="黑体"/>
          <w:sz w:val="28"/>
          <w:szCs w:val="28"/>
        </w:rPr>
      </w:pPr>
      <w:bookmarkStart w:id="59" w:name="_Toc77285076"/>
      <w:bookmarkStart w:id="60" w:name="_Toc166369501"/>
      <w:bookmarkStart w:id="61" w:name="_Toc1574309895"/>
      <w:bookmarkStart w:id="62" w:name="_Toc1355203037"/>
      <w:bookmarkStart w:id="63" w:name="_Toc502822663"/>
      <w:bookmarkStart w:id="64" w:name="_Toc1422282965"/>
      <w:bookmarkStart w:id="65" w:name="_Toc433186664"/>
      <w:r>
        <w:rPr>
          <w:rFonts w:hint="eastAsia" w:ascii="黑体" w:hAnsi="黑体" w:eastAsia="黑体" w:cs="黑体"/>
          <w:sz w:val="28"/>
          <w:szCs w:val="28"/>
        </w:rPr>
        <w:t>2.1.3公共卫生应急体系</w:t>
      </w:r>
      <w:bookmarkEnd w:id="59"/>
      <w:bookmarkEnd w:id="60"/>
      <w:bookmarkEnd w:id="61"/>
      <w:bookmarkEnd w:id="62"/>
      <w:bookmarkEnd w:id="63"/>
      <w:bookmarkEnd w:id="64"/>
      <w:bookmarkEnd w:id="65"/>
    </w:p>
    <w:p w14:paraId="5954EBE3">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cstheme="minorEastAsia"/>
          <w:sz w:val="24"/>
        </w:rPr>
      </w:pPr>
      <w:r>
        <w:rPr>
          <w:rFonts w:hint="eastAsia" w:asciiTheme="minorEastAsia" w:hAnsiTheme="minorEastAsia" w:cstheme="minorEastAsia"/>
          <w:sz w:val="24"/>
        </w:rPr>
        <w:t>“公共卫生体系就是疾病预防控制系统，这个系统由政府、主管部委（厅、局等）、实施中心（司中心院等）、疾控专业人员、保障医疗机构来协调组成”</w:t>
      </w:r>
      <w:r>
        <w:rPr>
          <w:rFonts w:hint="eastAsia" w:asciiTheme="minorEastAsia" w:hAnsiTheme="minorEastAsia" w:cstheme="minorEastAsia"/>
          <w:sz w:val="24"/>
          <w:vertAlign w:val="superscript"/>
        </w:rPr>
        <w:fldChar w:fldCharType="begin"/>
      </w:r>
      <w:r>
        <w:rPr>
          <w:rFonts w:hint="eastAsia" w:asciiTheme="minorEastAsia" w:hAnsiTheme="minorEastAsia" w:cstheme="minorEastAsia"/>
          <w:sz w:val="24"/>
          <w:vertAlign w:val="superscript"/>
        </w:rPr>
        <w:instrText xml:space="preserve"> REF _Ref927421770 \r \h </w:instrText>
      </w:r>
      <w:r>
        <w:rPr>
          <w:rFonts w:hint="eastAsia" w:asciiTheme="minorEastAsia" w:hAnsiTheme="minorEastAsia" w:cstheme="minorEastAsia"/>
          <w:sz w:val="24"/>
          <w:vertAlign w:val="superscript"/>
        </w:rPr>
        <w:fldChar w:fldCharType="separate"/>
      </w:r>
      <w:r>
        <w:rPr>
          <w:rFonts w:hint="eastAsia" w:asciiTheme="minorEastAsia" w:hAnsiTheme="minorEastAsia" w:cstheme="minorEastAsia"/>
          <w:sz w:val="24"/>
          <w:vertAlign w:val="superscript"/>
        </w:rPr>
        <w:t>[5]</w:t>
      </w:r>
      <w:r>
        <w:rPr>
          <w:rFonts w:hint="eastAsia" w:asciiTheme="minorEastAsia" w:hAnsiTheme="minorEastAsia" w:cstheme="minorEastAsia"/>
          <w:sz w:val="24"/>
          <w:vertAlign w:val="superscript"/>
        </w:rPr>
        <w:fldChar w:fldCharType="end"/>
      </w:r>
      <w:r>
        <w:rPr>
          <w:rFonts w:hint="eastAsia" w:asciiTheme="minorEastAsia" w:hAnsiTheme="minorEastAsia" w:cstheme="minorEastAsia"/>
          <w:sz w:val="24"/>
        </w:rPr>
        <w:t>。是守护全民健康的免疫系统”是，指国家在面对突发的卫生安全之前，能够做到提前预防，在出现问题时能在第一时间，对医疗资源和应急资源进行协调分配，对医疗救治人员向受灾地区支援的分配，通过一套完整的程序制度，规范的机制。将可能出现风险尽可能的降到最低，保证人民的生命安全和社会的和谐稳定。</w:t>
      </w:r>
    </w:p>
    <w:p w14:paraId="29EA3AD5">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1"/>
        <w:rPr>
          <w:rFonts w:hint="eastAsia" w:ascii="黑体" w:hAnsi="黑体" w:eastAsia="黑体" w:cs="黑体"/>
          <w:sz w:val="28"/>
          <w:szCs w:val="28"/>
        </w:rPr>
      </w:pPr>
      <w:bookmarkStart w:id="66" w:name="_Toc1850149544"/>
      <w:bookmarkStart w:id="67" w:name="_Toc598698518"/>
      <w:bookmarkStart w:id="68" w:name="_Toc592346096"/>
      <w:bookmarkStart w:id="69" w:name="_Toc69226287"/>
      <w:r>
        <w:rPr>
          <w:rFonts w:hint="eastAsia" w:ascii="黑体" w:hAnsi="黑体" w:eastAsia="黑体" w:cs="黑体"/>
          <w:sz w:val="28"/>
          <w:szCs w:val="28"/>
        </w:rPr>
        <w:t>2.2主要理论</w:t>
      </w:r>
      <w:bookmarkEnd w:id="66"/>
      <w:bookmarkEnd w:id="67"/>
      <w:bookmarkEnd w:id="68"/>
      <w:bookmarkEnd w:id="69"/>
    </w:p>
    <w:p w14:paraId="19DFCF47">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2"/>
        <w:rPr>
          <w:rFonts w:hint="eastAsia" w:ascii="黑体" w:hAnsi="黑体" w:eastAsia="黑体" w:cs="黑体"/>
          <w:sz w:val="28"/>
          <w:szCs w:val="28"/>
        </w:rPr>
      </w:pPr>
      <w:bookmarkStart w:id="70" w:name="_Toc1365105831"/>
      <w:bookmarkStart w:id="71" w:name="_Toc2047661095"/>
      <w:bookmarkStart w:id="72" w:name="_Toc708249400"/>
      <w:bookmarkStart w:id="73" w:name="_Toc2087099590"/>
      <w:bookmarkStart w:id="74" w:name="_Toc1974131627"/>
      <w:bookmarkStart w:id="75" w:name="_Toc945322928"/>
      <w:bookmarkStart w:id="76" w:name="_Toc378004977"/>
      <w:r>
        <w:rPr>
          <w:rFonts w:hint="eastAsia" w:ascii="黑体" w:hAnsi="黑体" w:eastAsia="黑体" w:cs="黑体"/>
          <w:sz w:val="28"/>
          <w:szCs w:val="28"/>
        </w:rPr>
        <w:t>2.2.1危机管理理论</w:t>
      </w:r>
      <w:bookmarkEnd w:id="70"/>
      <w:bookmarkEnd w:id="71"/>
      <w:bookmarkEnd w:id="72"/>
      <w:bookmarkEnd w:id="73"/>
      <w:bookmarkEnd w:id="74"/>
      <w:bookmarkEnd w:id="75"/>
      <w:bookmarkEnd w:id="76"/>
    </w:p>
    <w:p w14:paraId="3A1F9EBA">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cstheme="minorEastAsia"/>
          <w:sz w:val="24"/>
        </w:rPr>
      </w:pPr>
      <w:r>
        <w:rPr>
          <w:rFonts w:hint="eastAsia" w:asciiTheme="minorEastAsia" w:hAnsiTheme="minorEastAsia" w:cstheme="minorEastAsia"/>
          <w:sz w:val="24"/>
        </w:rPr>
        <w:t>危机管理的4R理论由美国危机管理专家危机管理大师罗伯特·希斯（Robert Heath）在《危机管理》一书中率先提出危机管理4R模式，即缩减力（Reduction）、预备力（Readiness）、反应力（Response）、恢复力（Recovery）</w:t>
      </w:r>
      <w:r>
        <w:rPr>
          <w:rFonts w:hint="eastAsia" w:asciiTheme="minorEastAsia" w:hAnsiTheme="minorEastAsia" w:cstheme="minorEastAsia"/>
          <w:sz w:val="24"/>
          <w:vertAlign w:val="superscript"/>
        </w:rPr>
        <w:fldChar w:fldCharType="begin"/>
      </w:r>
      <w:r>
        <w:rPr>
          <w:rFonts w:hint="eastAsia" w:asciiTheme="minorEastAsia" w:hAnsiTheme="minorEastAsia" w:cstheme="minorEastAsia"/>
          <w:sz w:val="24"/>
          <w:vertAlign w:val="superscript"/>
        </w:rPr>
        <w:instrText xml:space="preserve"> REF _Ref927690682 \r \h </w:instrText>
      </w:r>
      <w:r>
        <w:rPr>
          <w:rFonts w:hint="eastAsia" w:asciiTheme="minorEastAsia" w:hAnsiTheme="minorEastAsia" w:cstheme="minorEastAsia"/>
          <w:sz w:val="24"/>
          <w:vertAlign w:val="superscript"/>
        </w:rPr>
        <w:fldChar w:fldCharType="separate"/>
      </w:r>
      <w:r>
        <w:rPr>
          <w:rFonts w:hint="eastAsia" w:asciiTheme="minorEastAsia" w:hAnsiTheme="minorEastAsia" w:cstheme="minorEastAsia"/>
          <w:sz w:val="24"/>
          <w:vertAlign w:val="superscript"/>
        </w:rPr>
        <w:t>[6]</w:t>
      </w:r>
      <w:r>
        <w:rPr>
          <w:rFonts w:hint="eastAsia" w:asciiTheme="minorEastAsia" w:hAnsiTheme="minorEastAsia" w:cstheme="minorEastAsia"/>
          <w:sz w:val="24"/>
          <w:vertAlign w:val="superscript"/>
        </w:rPr>
        <w:fldChar w:fldCharType="end"/>
      </w:r>
      <w:r>
        <w:rPr>
          <w:rFonts w:hint="eastAsia" w:asciiTheme="minorEastAsia" w:hAnsiTheme="minorEastAsia" w:cstheme="minorEastAsia"/>
          <w:sz w:val="24"/>
        </w:rPr>
        <w:t>四个阶段组成。为应急管理提供了理论基础。</w:t>
      </w:r>
    </w:p>
    <w:p w14:paraId="6A19076E">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cstheme="minorEastAsia"/>
          <w:sz w:val="24"/>
        </w:rPr>
      </w:pPr>
      <w:r>
        <w:rPr>
          <w:rFonts w:hint="eastAsia" w:asciiTheme="minorEastAsia" w:hAnsiTheme="minorEastAsia" w:cstheme="minorEastAsia"/>
          <w:sz w:val="24"/>
        </w:rPr>
        <w:t>①准备阶段：</w:t>
      </w:r>
    </w:p>
    <w:p w14:paraId="5D3EFA33">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cstheme="minorEastAsia"/>
          <w:sz w:val="24"/>
        </w:rPr>
      </w:pPr>
      <w:r>
        <w:rPr>
          <w:rFonts w:hint="eastAsia" w:asciiTheme="minorEastAsia" w:hAnsiTheme="minorEastAsia" w:cstheme="minorEastAsia"/>
          <w:sz w:val="24"/>
        </w:rPr>
        <w:t>预防资源投入：在准备阶段预防和储备时理论的核心，预防资源的投入如，预警系统和风险评估，建立多个预警部门能第一时间对风险进行预估，投入大量资金，用于人员技术和面对危机时的应对方法培养。定期进行应急演习，各部门配合，如救援团队、医疗救助团队、消防队伍、之间相互合作，提升各部门的合作意识，共同应对未来可能发生的自然灾害。</w:t>
      </w:r>
    </w:p>
    <w:p w14:paraId="54115E4D">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cstheme="minorEastAsia"/>
          <w:sz w:val="24"/>
        </w:rPr>
      </w:pPr>
      <w:r>
        <w:rPr>
          <w:rFonts w:hint="eastAsia" w:asciiTheme="minorEastAsia" w:hAnsiTheme="minorEastAsia" w:cstheme="minorEastAsia"/>
          <w:sz w:val="24"/>
        </w:rPr>
        <w:t>物资与能力储备：需要建立起动态的资源管理储存库，在危机到来时能够在第一时间进行资源的调配工作。还要预留足够的资金来应对未来出现的自然灾害。</w:t>
      </w:r>
    </w:p>
    <w:p w14:paraId="395B9FC4">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cstheme="minorEastAsia"/>
          <w:sz w:val="24"/>
        </w:rPr>
      </w:pPr>
      <w:r>
        <w:rPr>
          <w:rFonts w:hint="eastAsia" w:asciiTheme="minorEastAsia" w:hAnsiTheme="minorEastAsia" w:cstheme="minorEastAsia"/>
          <w:sz w:val="24"/>
        </w:rPr>
        <w:t>组织结构的优化：设立好专门的应急救援团队，各部门明确自己的职责所在，避免在资源调度中出现不听指挥擅自行动的情况。</w:t>
      </w:r>
    </w:p>
    <w:p w14:paraId="0B0CFC58">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cstheme="minorEastAsia"/>
          <w:sz w:val="24"/>
        </w:rPr>
      </w:pPr>
      <w:r>
        <w:rPr>
          <w:rFonts w:hint="eastAsia" w:asciiTheme="minorEastAsia" w:hAnsiTheme="minorEastAsia" w:cstheme="minorEastAsia"/>
          <w:sz w:val="24"/>
        </w:rPr>
        <w:t>②响应阶段</w:t>
      </w:r>
    </w:p>
    <w:p w14:paraId="0C398327">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cstheme="minorEastAsia"/>
          <w:sz w:val="24"/>
        </w:rPr>
      </w:pPr>
      <w:r>
        <w:rPr>
          <w:rFonts w:hint="eastAsia" w:asciiTheme="minorEastAsia" w:hAnsiTheme="minorEastAsia" w:cstheme="minorEastAsia"/>
          <w:sz w:val="24"/>
        </w:rPr>
        <w:t>优先级的排序：首先做到在一切救援行动中都必须做到，生命至上的原则，优先将医疗人员和医疗物资送到受灾地点。其次快速恢复基础设施，确保救援工作的顺利进行。</w:t>
      </w:r>
    </w:p>
    <w:p w14:paraId="57A62C90">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eastAsia" w:ascii="黑体" w:hAnsi="黑体" w:eastAsia="黑体" w:cs="黑体"/>
          <w:b/>
          <w:bCs/>
          <w:sz w:val="30"/>
          <w:szCs w:val="30"/>
        </w:rPr>
      </w:pPr>
      <w:r>
        <w:rPr>
          <w:rFonts w:hint="eastAsia" w:asciiTheme="minorEastAsia" w:hAnsiTheme="minorEastAsia" w:cstheme="minorEastAsia"/>
          <w:sz w:val="24"/>
        </w:rPr>
        <w:t>动态协调机制：为了避免资源在重复搜救时产生浪费，需要建立一个应急指挥中心，听从指挥统一行动。</w:t>
      </w:r>
    </w:p>
    <w:p w14:paraId="303EC77A">
      <w:pPr>
        <w:spacing w:line="360" w:lineRule="auto"/>
        <w:outlineLvl w:val="0"/>
        <w:rPr>
          <w:rFonts w:hint="eastAsia" w:ascii="黑体" w:hAnsi="黑体" w:eastAsia="黑体" w:cs="黑体"/>
          <w:b/>
          <w:bCs/>
          <w:sz w:val="30"/>
          <w:szCs w:val="30"/>
        </w:rPr>
      </w:pPr>
    </w:p>
    <w:p w14:paraId="33E81025">
      <w:pPr>
        <w:spacing w:line="360" w:lineRule="auto"/>
        <w:outlineLvl w:val="0"/>
        <w:rPr>
          <w:rFonts w:hint="eastAsia" w:ascii="黑体" w:hAnsi="黑体" w:eastAsia="黑体" w:cs="黑体"/>
          <w:b/>
          <w:bCs/>
          <w:sz w:val="30"/>
          <w:szCs w:val="30"/>
        </w:rPr>
      </w:pPr>
    </w:p>
    <w:p w14:paraId="5D70EE74">
      <w:pPr>
        <w:spacing w:line="360" w:lineRule="auto"/>
        <w:outlineLvl w:val="0"/>
        <w:rPr>
          <w:rFonts w:hint="eastAsia" w:ascii="黑体" w:hAnsi="黑体" w:eastAsia="黑体" w:cs="黑体"/>
          <w:b/>
          <w:bCs/>
          <w:sz w:val="30"/>
          <w:szCs w:val="30"/>
        </w:rPr>
      </w:pPr>
    </w:p>
    <w:p w14:paraId="0B7C4661">
      <w:pPr>
        <w:spacing w:line="360" w:lineRule="auto"/>
        <w:outlineLvl w:val="0"/>
        <w:rPr>
          <w:rFonts w:hint="eastAsia" w:ascii="黑体" w:hAnsi="黑体" w:eastAsia="黑体" w:cs="黑体"/>
          <w:b/>
          <w:bCs/>
          <w:sz w:val="30"/>
          <w:szCs w:val="30"/>
        </w:rPr>
      </w:pPr>
    </w:p>
    <w:p w14:paraId="79298C95">
      <w:pPr>
        <w:spacing w:line="360" w:lineRule="auto"/>
        <w:outlineLvl w:val="0"/>
        <w:rPr>
          <w:rFonts w:hint="eastAsia" w:ascii="黑体" w:hAnsi="黑体" w:eastAsia="黑体" w:cs="黑体"/>
          <w:b/>
          <w:bCs/>
          <w:sz w:val="30"/>
          <w:szCs w:val="30"/>
        </w:rPr>
      </w:pPr>
    </w:p>
    <w:p w14:paraId="2C3186F6">
      <w:pPr>
        <w:spacing w:line="360" w:lineRule="auto"/>
        <w:outlineLvl w:val="0"/>
        <w:rPr>
          <w:rFonts w:hint="eastAsia" w:ascii="黑体" w:hAnsi="黑体" w:eastAsia="黑体" w:cs="黑体"/>
          <w:b/>
          <w:bCs/>
          <w:sz w:val="30"/>
          <w:szCs w:val="30"/>
        </w:rPr>
      </w:pPr>
    </w:p>
    <w:p w14:paraId="1A5F5677">
      <w:pPr>
        <w:spacing w:line="360" w:lineRule="auto"/>
        <w:outlineLvl w:val="0"/>
        <w:rPr>
          <w:rFonts w:hint="eastAsia" w:ascii="黑体" w:hAnsi="黑体" w:eastAsia="黑体" w:cs="黑体"/>
          <w:b/>
          <w:bCs/>
          <w:sz w:val="30"/>
          <w:szCs w:val="30"/>
        </w:rPr>
      </w:pPr>
    </w:p>
    <w:p w14:paraId="037A653C">
      <w:pPr>
        <w:spacing w:line="360" w:lineRule="auto"/>
        <w:outlineLvl w:val="0"/>
        <w:rPr>
          <w:rFonts w:hint="eastAsia" w:ascii="黑体" w:hAnsi="黑体" w:eastAsia="黑体" w:cs="黑体"/>
          <w:b/>
          <w:bCs/>
          <w:sz w:val="30"/>
          <w:szCs w:val="30"/>
        </w:rPr>
      </w:pPr>
    </w:p>
    <w:p w14:paraId="446EAA52">
      <w:pPr>
        <w:spacing w:line="360" w:lineRule="auto"/>
        <w:outlineLvl w:val="0"/>
        <w:rPr>
          <w:rFonts w:hint="eastAsia" w:ascii="黑体" w:hAnsi="黑体" w:eastAsia="黑体" w:cs="黑体"/>
          <w:b/>
          <w:bCs/>
          <w:sz w:val="30"/>
          <w:szCs w:val="30"/>
        </w:rPr>
      </w:pPr>
    </w:p>
    <w:p w14:paraId="4488E00F">
      <w:pPr>
        <w:spacing w:line="360" w:lineRule="auto"/>
        <w:outlineLvl w:val="0"/>
        <w:rPr>
          <w:rFonts w:hint="eastAsia" w:ascii="黑体" w:hAnsi="黑体" w:eastAsia="黑体" w:cs="黑体"/>
          <w:b/>
          <w:bCs/>
          <w:sz w:val="30"/>
          <w:szCs w:val="30"/>
        </w:rPr>
      </w:pPr>
    </w:p>
    <w:p w14:paraId="04E60729">
      <w:pPr>
        <w:spacing w:line="360" w:lineRule="auto"/>
        <w:outlineLvl w:val="0"/>
        <w:rPr>
          <w:rFonts w:hint="eastAsia" w:ascii="黑体" w:hAnsi="黑体" w:eastAsia="黑体" w:cs="黑体"/>
          <w:b/>
          <w:bCs/>
          <w:sz w:val="30"/>
          <w:szCs w:val="30"/>
        </w:rPr>
      </w:pPr>
    </w:p>
    <w:p w14:paraId="3742961A">
      <w:pPr>
        <w:spacing w:line="360" w:lineRule="auto"/>
        <w:outlineLvl w:val="0"/>
        <w:rPr>
          <w:rFonts w:hint="eastAsia" w:ascii="黑体" w:hAnsi="黑体" w:eastAsia="黑体" w:cs="黑体"/>
          <w:b/>
          <w:bCs/>
          <w:sz w:val="30"/>
          <w:szCs w:val="30"/>
        </w:rPr>
      </w:pPr>
    </w:p>
    <w:p w14:paraId="5F031AFA">
      <w:pPr>
        <w:spacing w:line="360" w:lineRule="auto"/>
        <w:outlineLvl w:val="0"/>
        <w:rPr>
          <w:rFonts w:hint="eastAsia" w:ascii="黑体" w:hAnsi="黑体" w:eastAsia="黑体" w:cs="黑体"/>
          <w:b/>
          <w:bCs/>
          <w:sz w:val="30"/>
          <w:szCs w:val="30"/>
        </w:rPr>
      </w:pPr>
    </w:p>
    <w:p w14:paraId="476D77C1">
      <w:pPr>
        <w:spacing w:line="360" w:lineRule="auto"/>
        <w:outlineLvl w:val="0"/>
        <w:rPr>
          <w:rFonts w:hint="eastAsia" w:ascii="黑体" w:hAnsi="黑体" w:eastAsia="黑体" w:cs="黑体"/>
          <w:b/>
          <w:bCs/>
          <w:sz w:val="30"/>
          <w:szCs w:val="30"/>
        </w:rPr>
      </w:pPr>
    </w:p>
    <w:p w14:paraId="72752B7B">
      <w:pPr>
        <w:rPr>
          <w:rFonts w:hint="eastAsia" w:ascii="黑体" w:hAnsi="黑体" w:eastAsia="黑体" w:cs="黑体"/>
          <w:b/>
          <w:bCs/>
          <w:sz w:val="30"/>
          <w:szCs w:val="30"/>
        </w:rPr>
      </w:pPr>
      <w:bookmarkStart w:id="77" w:name="_Toc607908839"/>
      <w:bookmarkStart w:id="78" w:name="_Toc1765900716"/>
      <w:bookmarkStart w:id="79" w:name="_Toc1697552582"/>
      <w:bookmarkStart w:id="80" w:name="_Toc1614580490"/>
      <w:r>
        <w:rPr>
          <w:rFonts w:hint="eastAsia" w:ascii="黑体" w:hAnsi="黑体" w:eastAsia="黑体" w:cs="黑体"/>
          <w:b/>
          <w:bCs/>
          <w:sz w:val="30"/>
          <w:szCs w:val="30"/>
        </w:rPr>
        <w:br w:type="page"/>
      </w:r>
    </w:p>
    <w:p w14:paraId="5D8C6AD0">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黑体" w:hAnsi="黑体" w:eastAsia="黑体" w:cs="黑体"/>
          <w:b/>
          <w:bCs/>
          <w:sz w:val="30"/>
          <w:szCs w:val="30"/>
        </w:rPr>
      </w:pPr>
      <w:r>
        <w:rPr>
          <w:rFonts w:hint="eastAsia" w:ascii="黑体" w:hAnsi="黑体" w:eastAsia="黑体" w:cs="黑体"/>
          <w:b/>
          <w:bCs/>
          <w:sz w:val="30"/>
          <w:szCs w:val="30"/>
        </w:rPr>
        <w:t>第三章 缅甸曼德勒“3.28”地震概述</w:t>
      </w:r>
      <w:bookmarkEnd w:id="77"/>
      <w:bookmarkEnd w:id="78"/>
      <w:bookmarkEnd w:id="79"/>
      <w:bookmarkEnd w:id="80"/>
    </w:p>
    <w:p w14:paraId="6EEAA170">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1"/>
        <w:rPr>
          <w:rFonts w:hint="eastAsia" w:ascii="黑体" w:hAnsi="黑体" w:eastAsia="黑体" w:cs="黑体"/>
          <w:sz w:val="28"/>
          <w:szCs w:val="28"/>
        </w:rPr>
      </w:pPr>
      <w:bookmarkStart w:id="81" w:name="_Toc1544148294"/>
      <w:bookmarkStart w:id="82" w:name="_Toc1269332272"/>
      <w:bookmarkStart w:id="83" w:name="_Toc650931938"/>
      <w:bookmarkStart w:id="84" w:name="_Toc1445995279"/>
      <w:r>
        <w:rPr>
          <w:rFonts w:hint="eastAsia" w:ascii="黑体" w:hAnsi="黑体" w:eastAsia="黑体" w:cs="黑体"/>
          <w:sz w:val="28"/>
          <w:szCs w:val="28"/>
        </w:rPr>
        <w:t>3.1缅甸曼德勒3.28地震概述</w:t>
      </w:r>
      <w:bookmarkEnd w:id="81"/>
      <w:bookmarkEnd w:id="82"/>
      <w:bookmarkEnd w:id="83"/>
      <w:bookmarkEnd w:id="84"/>
    </w:p>
    <w:p w14:paraId="3A402F30">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2"/>
        <w:rPr>
          <w:rFonts w:hint="eastAsia" w:ascii="黑体" w:hAnsi="黑体" w:eastAsia="黑体" w:cs="黑体"/>
          <w:sz w:val="28"/>
          <w:szCs w:val="28"/>
        </w:rPr>
      </w:pPr>
      <w:bookmarkStart w:id="85" w:name="_Toc333014044"/>
      <w:bookmarkStart w:id="86" w:name="_Toc174888848"/>
      <w:bookmarkStart w:id="87" w:name="_Toc939333237"/>
      <w:bookmarkStart w:id="88" w:name="_Toc931384148"/>
      <w:bookmarkStart w:id="89" w:name="_Toc160503263"/>
      <w:bookmarkStart w:id="90" w:name="_Toc1266569099"/>
      <w:bookmarkStart w:id="91" w:name="_Toc564946206"/>
      <w:r>
        <w:rPr>
          <w:rFonts w:hint="eastAsia" w:ascii="黑体" w:hAnsi="黑体" w:eastAsia="黑体" w:cs="黑体"/>
          <w:sz w:val="28"/>
          <w:szCs w:val="28"/>
        </w:rPr>
        <w:t>3.1.1缅甸曼德勒地震概述</w:t>
      </w:r>
      <w:bookmarkEnd w:id="85"/>
      <w:bookmarkEnd w:id="86"/>
      <w:bookmarkEnd w:id="87"/>
      <w:bookmarkEnd w:id="88"/>
      <w:bookmarkEnd w:id="89"/>
      <w:bookmarkEnd w:id="90"/>
      <w:bookmarkEnd w:id="91"/>
    </w:p>
    <w:p w14:paraId="4B5F14AF">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cstheme="minorEastAsia"/>
          <w:sz w:val="24"/>
        </w:rPr>
      </w:pPr>
      <w:r>
        <w:rPr>
          <w:rFonts w:hint="eastAsia" w:asciiTheme="minorEastAsia" w:hAnsiTheme="minorEastAsia" w:cstheme="minorEastAsia"/>
          <w:sz w:val="24"/>
        </w:rPr>
        <w:t>此次地震发生于当地时间3月28日14时20分，此次地震的震级高达7.9级</w:t>
      </w:r>
      <w:r>
        <w:rPr>
          <w:rFonts w:hint="eastAsia" w:asciiTheme="minorEastAsia" w:hAnsiTheme="minorEastAsia" w:cstheme="minorEastAsia"/>
          <w:sz w:val="24"/>
          <w:lang w:eastAsia="zh"/>
        </w:rPr>
        <w:t>，</w:t>
      </w:r>
      <w:r>
        <w:rPr>
          <w:rFonts w:hint="eastAsia" w:asciiTheme="minorEastAsia" w:hAnsiTheme="minorEastAsia" w:cstheme="minorEastAsia"/>
          <w:sz w:val="24"/>
        </w:rPr>
        <w:t>震中位于北纬21.85度，东经95.95度，震中为实皆市，距中国边境线最近约294公里。本次地震是2025年以来的最大地震，是缅甸近年来比较高的地震等级，地震的震源深度达到了30km。地震的主要原因是印度板块和欧亚板块之间的挤压和摩擦‌。缅甸位于欧亚地震带上，地处亚</w:t>
      </w:r>
    </w:p>
    <w:p w14:paraId="19A96C05">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cstheme="minorEastAsia"/>
          <w:sz w:val="24"/>
        </w:rPr>
      </w:pPr>
      <w:r>
        <w:rPr>
          <w:rFonts w:hint="eastAsia" w:asciiTheme="minorEastAsia" w:hAnsiTheme="minorEastAsia" w:cstheme="minorEastAsia"/>
          <w:sz w:val="24"/>
        </w:rPr>
        <w:t>欧板块和印度板块的交界处，这一地区地壳构造变形强烈且地震活动性强”。近年来，印度板块都在以每年4到5厘米的速度向北俯冲。因此岩石圈大规模的缩短，形成了喜马拉雅造山带。经过长年累月的积累通过断层错动释放，从而引发了地震，此次的地震中位于实皆断裂带。应两大板块的长年挤压该断裂带历史上发生过多次地震的情况（如1930年的7.3级地震）有过先例。</w:t>
      </w:r>
    </w:p>
    <w:p w14:paraId="13A1CB9E">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Theme="minorEastAsia" w:hAnsiTheme="minorEastAsia" w:cstheme="minorEastAsia"/>
        </w:rPr>
      </w:pPr>
    </w:p>
    <w:p w14:paraId="410D3108">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rPr>
          <w:rFonts w:hint="eastAsia"/>
        </w:rPr>
        <w:drawing>
          <wp:inline distT="0" distB="0" distL="114300" distR="114300">
            <wp:extent cx="4386580" cy="4815205"/>
            <wp:effectExtent l="0" t="0" r="7620" b="10795"/>
            <wp:docPr id="1" name="图片 1" descr="2025-04-12 14:31:42.64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25-04-12 14:31:42.642000"/>
                    <pic:cNvPicPr>
                      <a:picLocks noChangeAspect="1"/>
                    </pic:cNvPicPr>
                  </pic:nvPicPr>
                  <pic:blipFill>
                    <a:blip r:embed="rId12"/>
                    <a:stretch>
                      <a:fillRect/>
                    </a:stretch>
                  </pic:blipFill>
                  <pic:spPr>
                    <a:xfrm>
                      <a:off x="0" y="0"/>
                      <a:ext cx="4386580" cy="4815205"/>
                    </a:xfrm>
                    <a:prstGeom prst="rect">
                      <a:avLst/>
                    </a:prstGeom>
                  </pic:spPr>
                </pic:pic>
              </a:graphicData>
            </a:graphic>
          </wp:inline>
        </w:drawing>
      </w:r>
    </w:p>
    <w:p w14:paraId="321EE86F">
      <w:pPr>
        <w:pStyle w:val="4"/>
        <w:keepNext w:val="0"/>
        <w:keepLines w:val="0"/>
        <w:pageBreakBefore w:val="0"/>
        <w:widowControl w:val="0"/>
        <w:kinsoku/>
        <w:wordWrap/>
        <w:overflowPunct/>
        <w:topLinePunct w:val="0"/>
        <w:autoSpaceDE/>
        <w:autoSpaceDN/>
        <w:bidi w:val="0"/>
        <w:adjustRightInd/>
        <w:snapToGrid/>
        <w:spacing w:line="240" w:lineRule="auto"/>
        <w:jc w:val="center"/>
        <w:textAlignment w:val="auto"/>
      </w:pPr>
      <w:r>
        <w:t xml:space="preserve">图 </w:t>
      </w:r>
      <w:r>
        <w:fldChar w:fldCharType="begin"/>
      </w:r>
      <w:r>
        <w:instrText xml:space="preserve"> SEQ 图 \* ARABIC </w:instrText>
      </w:r>
      <w:r>
        <w:fldChar w:fldCharType="separate"/>
      </w:r>
      <w:r>
        <w:t>1</w:t>
      </w:r>
      <w:r>
        <w:fldChar w:fldCharType="end"/>
      </w:r>
      <w:r>
        <w:rPr>
          <w:rFonts w:hint="eastAsia"/>
        </w:rPr>
        <w:t>缅甸曼德勒地理版块图</w:t>
      </w:r>
    </w:p>
    <w:p w14:paraId="66C7ACB5">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EastAsia" w:hAnsiTheme="minorEastAsia" w:cstheme="minorEastAsia"/>
          <w:sz w:val="24"/>
        </w:rPr>
      </w:pPr>
    </w:p>
    <w:tbl>
      <w:tblPr>
        <w:tblStyle w:val="13"/>
        <w:tblpPr w:leftFromText="180" w:rightFromText="180" w:vertAnchor="text" w:horzAnchor="page" w:tblpXSpec="center" w:tblpY="453"/>
        <w:tblOverlap w:val="never"/>
        <w:tblW w:w="0" w:type="auto"/>
        <w:jc w:val="center"/>
        <w:tblBorders>
          <w:top w:val="single" w:color="auto" w:sz="18" w:space="0"/>
          <w:left w:val="none" w:color="auto" w:sz="0" w:space="0"/>
          <w:bottom w:val="single" w:color="auto" w:sz="18"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47"/>
        <w:gridCol w:w="2413"/>
        <w:gridCol w:w="2131"/>
        <w:gridCol w:w="2131"/>
      </w:tblGrid>
      <w:tr w14:paraId="31DF9A2C">
        <w:trPr>
          <w:jc w:val="center"/>
        </w:trPr>
        <w:tc>
          <w:tcPr>
            <w:tcW w:w="1847" w:type="dxa"/>
            <w:tcBorders>
              <w:bottom w:val="single" w:color="auto" w:sz="4" w:space="0"/>
            </w:tcBorders>
          </w:tcPr>
          <w:p w14:paraId="153999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cstheme="minorEastAsia"/>
                <w:b/>
                <w:bCs/>
                <w:szCs w:val="21"/>
              </w:rPr>
            </w:pPr>
            <w:r>
              <w:rPr>
                <w:rFonts w:hint="eastAsia" w:asciiTheme="minorEastAsia" w:hAnsiTheme="minorEastAsia" w:cstheme="minorEastAsia"/>
                <w:b/>
                <w:bCs/>
                <w:szCs w:val="21"/>
              </w:rPr>
              <w:t>时间</w:t>
            </w:r>
          </w:p>
        </w:tc>
        <w:tc>
          <w:tcPr>
            <w:tcW w:w="2413" w:type="dxa"/>
            <w:tcBorders>
              <w:bottom w:val="single" w:color="auto" w:sz="4" w:space="0"/>
            </w:tcBorders>
          </w:tcPr>
          <w:p w14:paraId="5DBF1C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cstheme="minorEastAsia"/>
                <w:b/>
                <w:bCs/>
                <w:szCs w:val="21"/>
              </w:rPr>
            </w:pPr>
            <w:r>
              <w:rPr>
                <w:rFonts w:hint="eastAsia" w:asciiTheme="minorEastAsia" w:hAnsiTheme="minorEastAsia" w:cstheme="minorEastAsia"/>
                <w:b/>
                <w:bCs/>
                <w:szCs w:val="21"/>
              </w:rPr>
              <w:t xml:space="preserve">地点  </w:t>
            </w:r>
          </w:p>
        </w:tc>
        <w:tc>
          <w:tcPr>
            <w:tcW w:w="2131" w:type="dxa"/>
            <w:tcBorders>
              <w:bottom w:val="single" w:color="auto" w:sz="4" w:space="0"/>
            </w:tcBorders>
          </w:tcPr>
          <w:p w14:paraId="07A4D0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cstheme="minorEastAsia"/>
                <w:b/>
                <w:bCs/>
                <w:szCs w:val="21"/>
              </w:rPr>
            </w:pPr>
            <w:r>
              <w:rPr>
                <w:rFonts w:hint="eastAsia" w:asciiTheme="minorEastAsia" w:hAnsiTheme="minorEastAsia" w:cstheme="minorEastAsia"/>
                <w:b/>
                <w:bCs/>
                <w:szCs w:val="21"/>
              </w:rPr>
              <w:t>震级</w:t>
            </w:r>
          </w:p>
        </w:tc>
        <w:tc>
          <w:tcPr>
            <w:tcW w:w="2131" w:type="dxa"/>
            <w:tcBorders>
              <w:bottom w:val="single" w:color="auto" w:sz="4" w:space="0"/>
            </w:tcBorders>
          </w:tcPr>
          <w:p w14:paraId="58F1087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cstheme="minorEastAsia"/>
                <w:b/>
                <w:bCs/>
                <w:szCs w:val="21"/>
              </w:rPr>
            </w:pPr>
            <w:r>
              <w:rPr>
                <w:rFonts w:hint="eastAsia" w:asciiTheme="minorEastAsia" w:hAnsiTheme="minorEastAsia" w:cstheme="minorEastAsia"/>
                <w:b/>
                <w:bCs/>
                <w:szCs w:val="21"/>
              </w:rPr>
              <w:t>震级带</w:t>
            </w:r>
          </w:p>
        </w:tc>
      </w:tr>
      <w:tr w14:paraId="34F48AE2">
        <w:trPr>
          <w:jc w:val="center"/>
        </w:trPr>
        <w:tc>
          <w:tcPr>
            <w:tcW w:w="1847" w:type="dxa"/>
            <w:tcBorders>
              <w:top w:val="single" w:color="auto" w:sz="4" w:space="0"/>
              <w:tl2br w:val="nil"/>
              <w:tr2bl w:val="nil"/>
            </w:tcBorders>
            <w:shd w:val="clear" w:color="auto" w:fill="FFFFFF"/>
          </w:tcPr>
          <w:p w14:paraId="6A2A60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cstheme="minorEastAsia"/>
                <w:color w:val="000000"/>
                <w:sz w:val="18"/>
                <w:szCs w:val="18"/>
              </w:rPr>
            </w:pPr>
            <w:r>
              <w:rPr>
                <w:rFonts w:hint="eastAsia" w:asciiTheme="minorEastAsia" w:hAnsiTheme="minorEastAsia" w:cstheme="minorEastAsia"/>
                <w:color w:val="000000"/>
                <w:sz w:val="18"/>
                <w:szCs w:val="18"/>
              </w:rPr>
              <w:t>1906</w:t>
            </w:r>
          </w:p>
        </w:tc>
        <w:tc>
          <w:tcPr>
            <w:tcW w:w="2413" w:type="dxa"/>
            <w:tcBorders>
              <w:top w:val="single" w:color="auto" w:sz="4" w:space="0"/>
              <w:tl2br w:val="nil"/>
              <w:tr2bl w:val="nil"/>
            </w:tcBorders>
            <w:shd w:val="clear" w:color="auto" w:fill="FFFFFF"/>
          </w:tcPr>
          <w:p w14:paraId="76B1CD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cstheme="minorEastAsia"/>
                <w:color w:val="000000"/>
                <w:sz w:val="18"/>
                <w:szCs w:val="18"/>
              </w:rPr>
            </w:pPr>
            <w:r>
              <w:rPr>
                <w:rFonts w:hint="eastAsia" w:asciiTheme="minorEastAsia" w:hAnsiTheme="minorEastAsia" w:cstheme="minorEastAsia"/>
                <w:color w:val="000000"/>
                <w:sz w:val="18"/>
                <w:szCs w:val="18"/>
              </w:rPr>
              <w:t>缅甸北段近中国</w:t>
            </w:r>
          </w:p>
        </w:tc>
        <w:tc>
          <w:tcPr>
            <w:tcW w:w="2131" w:type="dxa"/>
            <w:tcBorders>
              <w:top w:val="single" w:color="auto" w:sz="4" w:space="0"/>
              <w:tl2br w:val="nil"/>
              <w:tr2bl w:val="nil"/>
            </w:tcBorders>
            <w:shd w:val="clear" w:color="auto" w:fill="FFFFFF"/>
          </w:tcPr>
          <w:p w14:paraId="1E359C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cstheme="minorEastAsia"/>
                <w:color w:val="000000"/>
                <w:sz w:val="18"/>
                <w:szCs w:val="18"/>
              </w:rPr>
            </w:pPr>
            <w:r>
              <w:rPr>
                <w:rFonts w:hint="eastAsia" w:asciiTheme="minorEastAsia" w:hAnsiTheme="minorEastAsia" w:cstheme="minorEastAsia"/>
                <w:color w:val="000000"/>
                <w:sz w:val="18"/>
                <w:szCs w:val="18"/>
              </w:rPr>
              <w:t>7.0</w:t>
            </w:r>
          </w:p>
        </w:tc>
        <w:tc>
          <w:tcPr>
            <w:tcW w:w="2131" w:type="dxa"/>
            <w:tcBorders>
              <w:top w:val="single" w:color="auto" w:sz="4" w:space="0"/>
              <w:tl2br w:val="nil"/>
              <w:tr2bl w:val="nil"/>
            </w:tcBorders>
            <w:shd w:val="clear" w:color="auto" w:fill="FFFFFF"/>
          </w:tcPr>
          <w:p w14:paraId="09B30C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cstheme="minorEastAsia"/>
                <w:color w:val="000000"/>
                <w:sz w:val="18"/>
                <w:szCs w:val="18"/>
              </w:rPr>
            </w:pPr>
            <w:r>
              <w:rPr>
                <w:rFonts w:hint="eastAsia" w:asciiTheme="minorEastAsia" w:hAnsiTheme="minorEastAsia" w:cstheme="minorEastAsia"/>
                <w:color w:val="000000"/>
                <w:sz w:val="18"/>
                <w:szCs w:val="18"/>
              </w:rPr>
              <w:t>喜马拉雅地震带</w:t>
            </w:r>
          </w:p>
        </w:tc>
      </w:tr>
      <w:tr w14:paraId="24C9FEB7">
        <w:trPr>
          <w:jc w:val="center"/>
        </w:trPr>
        <w:tc>
          <w:tcPr>
            <w:tcW w:w="1847" w:type="dxa"/>
            <w:tcBorders>
              <w:tl2br w:val="nil"/>
              <w:tr2bl w:val="nil"/>
            </w:tcBorders>
            <w:shd w:val="clear" w:color="auto" w:fill="FFFFFF"/>
          </w:tcPr>
          <w:p w14:paraId="2480D2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cstheme="minorEastAsia"/>
                <w:color w:val="000000"/>
                <w:sz w:val="18"/>
                <w:szCs w:val="18"/>
              </w:rPr>
            </w:pPr>
            <w:r>
              <w:rPr>
                <w:rFonts w:hint="eastAsia" w:asciiTheme="minorEastAsia" w:hAnsiTheme="minorEastAsia" w:cstheme="minorEastAsia"/>
                <w:color w:val="000000"/>
                <w:sz w:val="18"/>
                <w:szCs w:val="18"/>
              </w:rPr>
              <w:t>1908</w:t>
            </w:r>
          </w:p>
        </w:tc>
        <w:tc>
          <w:tcPr>
            <w:tcW w:w="2413" w:type="dxa"/>
            <w:tcBorders>
              <w:tl2br w:val="nil"/>
              <w:tr2bl w:val="nil"/>
            </w:tcBorders>
            <w:shd w:val="clear" w:color="auto" w:fill="FFFFFF"/>
          </w:tcPr>
          <w:p w14:paraId="7D2790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cstheme="minorEastAsia"/>
                <w:color w:val="000000"/>
                <w:sz w:val="18"/>
                <w:szCs w:val="18"/>
              </w:rPr>
            </w:pPr>
            <w:r>
              <w:rPr>
                <w:rFonts w:hint="eastAsia" w:asciiTheme="minorEastAsia" w:hAnsiTheme="minorEastAsia" w:cstheme="minorEastAsia"/>
                <w:color w:val="000000"/>
                <w:sz w:val="18"/>
                <w:szCs w:val="18"/>
              </w:rPr>
              <w:t>缅甸北端</w:t>
            </w:r>
          </w:p>
        </w:tc>
        <w:tc>
          <w:tcPr>
            <w:tcW w:w="2131" w:type="dxa"/>
            <w:tcBorders>
              <w:tl2br w:val="nil"/>
              <w:tr2bl w:val="nil"/>
            </w:tcBorders>
            <w:shd w:val="clear" w:color="auto" w:fill="FFFFFF"/>
          </w:tcPr>
          <w:p w14:paraId="71DAB6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cstheme="minorEastAsia"/>
                <w:color w:val="000000"/>
                <w:sz w:val="18"/>
                <w:szCs w:val="18"/>
              </w:rPr>
            </w:pPr>
            <w:r>
              <w:rPr>
                <w:rFonts w:hint="eastAsia" w:asciiTheme="minorEastAsia" w:hAnsiTheme="minorEastAsia" w:cstheme="minorEastAsia"/>
                <w:color w:val="000000"/>
                <w:sz w:val="18"/>
                <w:szCs w:val="18"/>
              </w:rPr>
              <w:t>7.5</w:t>
            </w:r>
          </w:p>
        </w:tc>
        <w:tc>
          <w:tcPr>
            <w:tcW w:w="2131" w:type="dxa"/>
            <w:tcBorders>
              <w:tl2br w:val="nil"/>
              <w:tr2bl w:val="nil"/>
            </w:tcBorders>
            <w:shd w:val="clear" w:color="auto" w:fill="FFFFFF"/>
          </w:tcPr>
          <w:p w14:paraId="6E93525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cstheme="minorEastAsia"/>
                <w:color w:val="000000"/>
                <w:sz w:val="18"/>
                <w:szCs w:val="18"/>
              </w:rPr>
            </w:pPr>
            <w:r>
              <w:rPr>
                <w:rFonts w:hint="eastAsia" w:asciiTheme="minorEastAsia" w:hAnsiTheme="minorEastAsia" w:cstheme="minorEastAsia"/>
                <w:color w:val="000000"/>
                <w:sz w:val="18"/>
                <w:szCs w:val="18"/>
              </w:rPr>
              <w:t>喜马拉雅地震带</w:t>
            </w:r>
          </w:p>
        </w:tc>
      </w:tr>
      <w:tr w14:paraId="798150BE">
        <w:trPr>
          <w:jc w:val="center"/>
        </w:trPr>
        <w:tc>
          <w:tcPr>
            <w:tcW w:w="1847" w:type="dxa"/>
            <w:tcBorders>
              <w:tl2br w:val="nil"/>
              <w:tr2bl w:val="nil"/>
            </w:tcBorders>
            <w:shd w:val="clear" w:color="auto" w:fill="FFFFFF"/>
          </w:tcPr>
          <w:p w14:paraId="743D6DB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cstheme="minorEastAsia"/>
                <w:color w:val="000000"/>
                <w:sz w:val="18"/>
                <w:szCs w:val="18"/>
              </w:rPr>
            </w:pPr>
            <w:r>
              <w:rPr>
                <w:rFonts w:hint="eastAsia" w:asciiTheme="minorEastAsia" w:hAnsiTheme="minorEastAsia" w:cstheme="minorEastAsia"/>
                <w:color w:val="000000"/>
                <w:sz w:val="18"/>
                <w:szCs w:val="18"/>
              </w:rPr>
              <w:t>1930</w:t>
            </w:r>
          </w:p>
        </w:tc>
        <w:tc>
          <w:tcPr>
            <w:tcW w:w="2413" w:type="dxa"/>
            <w:tcBorders>
              <w:tl2br w:val="nil"/>
              <w:tr2bl w:val="nil"/>
            </w:tcBorders>
            <w:shd w:val="clear" w:color="auto" w:fill="FFFFFF"/>
          </w:tcPr>
          <w:p w14:paraId="73A82C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cstheme="minorEastAsia"/>
                <w:color w:val="000000"/>
                <w:sz w:val="18"/>
                <w:szCs w:val="18"/>
              </w:rPr>
            </w:pPr>
            <w:r>
              <w:rPr>
                <w:rFonts w:hint="eastAsia" w:asciiTheme="minorEastAsia" w:hAnsiTheme="minorEastAsia" w:cstheme="minorEastAsia"/>
                <w:color w:val="000000"/>
                <w:sz w:val="18"/>
                <w:szCs w:val="18"/>
              </w:rPr>
              <w:t>缅甸南段仰光附近</w:t>
            </w:r>
          </w:p>
        </w:tc>
        <w:tc>
          <w:tcPr>
            <w:tcW w:w="2131" w:type="dxa"/>
            <w:tcBorders>
              <w:tl2br w:val="nil"/>
              <w:tr2bl w:val="nil"/>
            </w:tcBorders>
            <w:shd w:val="clear" w:color="auto" w:fill="FFFFFF"/>
          </w:tcPr>
          <w:p w14:paraId="15B580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cstheme="minorEastAsia"/>
                <w:color w:val="000000"/>
                <w:sz w:val="18"/>
                <w:szCs w:val="18"/>
              </w:rPr>
            </w:pPr>
            <w:r>
              <w:rPr>
                <w:rFonts w:hint="eastAsia" w:asciiTheme="minorEastAsia" w:hAnsiTheme="minorEastAsia" w:cstheme="minorEastAsia"/>
                <w:color w:val="000000"/>
                <w:sz w:val="18"/>
                <w:szCs w:val="18"/>
              </w:rPr>
              <w:t>7.4</w:t>
            </w:r>
          </w:p>
        </w:tc>
        <w:tc>
          <w:tcPr>
            <w:tcW w:w="2131" w:type="dxa"/>
            <w:tcBorders>
              <w:tl2br w:val="nil"/>
              <w:tr2bl w:val="nil"/>
            </w:tcBorders>
            <w:shd w:val="clear" w:color="auto" w:fill="FFFFFF"/>
          </w:tcPr>
          <w:p w14:paraId="6EFCF6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cstheme="minorEastAsia"/>
                <w:color w:val="000000"/>
                <w:sz w:val="18"/>
                <w:szCs w:val="18"/>
              </w:rPr>
            </w:pPr>
            <w:r>
              <w:rPr>
                <w:rFonts w:hint="eastAsia" w:asciiTheme="minorEastAsia" w:hAnsiTheme="minorEastAsia" w:cstheme="minorEastAsia"/>
                <w:color w:val="000000"/>
                <w:sz w:val="18"/>
                <w:szCs w:val="18"/>
              </w:rPr>
              <w:t>喜马拉雅地震带</w:t>
            </w:r>
          </w:p>
        </w:tc>
      </w:tr>
      <w:tr w14:paraId="6C3D29BA">
        <w:trPr>
          <w:jc w:val="center"/>
        </w:trPr>
        <w:tc>
          <w:tcPr>
            <w:tcW w:w="1847" w:type="dxa"/>
            <w:tcBorders>
              <w:tl2br w:val="nil"/>
              <w:tr2bl w:val="nil"/>
            </w:tcBorders>
            <w:shd w:val="clear" w:color="auto" w:fill="FFFFFF"/>
          </w:tcPr>
          <w:p w14:paraId="71037D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cstheme="minorEastAsia"/>
                <w:color w:val="000000"/>
                <w:sz w:val="18"/>
                <w:szCs w:val="18"/>
              </w:rPr>
            </w:pPr>
            <w:r>
              <w:rPr>
                <w:rFonts w:hint="eastAsia" w:asciiTheme="minorEastAsia" w:hAnsiTheme="minorEastAsia" w:cstheme="minorEastAsia"/>
                <w:color w:val="000000"/>
                <w:sz w:val="18"/>
                <w:szCs w:val="18"/>
              </w:rPr>
              <w:t>1931</w:t>
            </w:r>
          </w:p>
        </w:tc>
        <w:tc>
          <w:tcPr>
            <w:tcW w:w="2413" w:type="dxa"/>
            <w:tcBorders>
              <w:tl2br w:val="nil"/>
              <w:tr2bl w:val="nil"/>
            </w:tcBorders>
            <w:shd w:val="clear" w:color="auto" w:fill="FFFFFF"/>
          </w:tcPr>
          <w:p w14:paraId="2DF3DB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cstheme="minorEastAsia"/>
                <w:color w:val="000000"/>
                <w:sz w:val="18"/>
                <w:szCs w:val="18"/>
              </w:rPr>
            </w:pPr>
            <w:r>
              <w:rPr>
                <w:rFonts w:hint="eastAsia" w:asciiTheme="minorEastAsia" w:hAnsiTheme="minorEastAsia" w:cstheme="minorEastAsia"/>
                <w:color w:val="000000"/>
                <w:sz w:val="18"/>
                <w:szCs w:val="18"/>
              </w:rPr>
              <w:t>缅甸北段</w:t>
            </w:r>
          </w:p>
        </w:tc>
        <w:tc>
          <w:tcPr>
            <w:tcW w:w="2131" w:type="dxa"/>
            <w:tcBorders>
              <w:tl2br w:val="nil"/>
              <w:tr2bl w:val="nil"/>
            </w:tcBorders>
            <w:shd w:val="clear" w:color="auto" w:fill="FFFFFF"/>
          </w:tcPr>
          <w:p w14:paraId="7F4B76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cstheme="minorEastAsia"/>
                <w:color w:val="000000"/>
                <w:sz w:val="18"/>
                <w:szCs w:val="18"/>
              </w:rPr>
            </w:pPr>
            <w:r>
              <w:rPr>
                <w:rFonts w:hint="eastAsia" w:asciiTheme="minorEastAsia" w:hAnsiTheme="minorEastAsia" w:cstheme="minorEastAsia"/>
                <w:color w:val="000000"/>
                <w:sz w:val="18"/>
                <w:szCs w:val="18"/>
              </w:rPr>
              <w:t>7.7</w:t>
            </w:r>
          </w:p>
        </w:tc>
        <w:tc>
          <w:tcPr>
            <w:tcW w:w="2131" w:type="dxa"/>
            <w:tcBorders>
              <w:tl2br w:val="nil"/>
              <w:tr2bl w:val="nil"/>
            </w:tcBorders>
            <w:shd w:val="clear" w:color="auto" w:fill="FFFFFF"/>
          </w:tcPr>
          <w:p w14:paraId="0D0AA3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cstheme="minorEastAsia"/>
                <w:color w:val="000000"/>
                <w:sz w:val="18"/>
                <w:szCs w:val="18"/>
              </w:rPr>
            </w:pPr>
            <w:r>
              <w:rPr>
                <w:rFonts w:hint="eastAsia" w:asciiTheme="minorEastAsia" w:hAnsiTheme="minorEastAsia" w:cstheme="minorEastAsia"/>
                <w:color w:val="000000"/>
                <w:sz w:val="18"/>
                <w:szCs w:val="18"/>
              </w:rPr>
              <w:t>喜马拉雅地震带</w:t>
            </w:r>
          </w:p>
        </w:tc>
      </w:tr>
      <w:tr w14:paraId="53E9B0FC">
        <w:trPr>
          <w:jc w:val="center"/>
        </w:trPr>
        <w:tc>
          <w:tcPr>
            <w:tcW w:w="1847" w:type="dxa"/>
            <w:tcBorders>
              <w:tl2br w:val="nil"/>
              <w:tr2bl w:val="nil"/>
            </w:tcBorders>
            <w:shd w:val="clear" w:color="auto" w:fill="FFFFFF"/>
          </w:tcPr>
          <w:p w14:paraId="0176B9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cstheme="minorEastAsia"/>
                <w:color w:val="000000"/>
                <w:sz w:val="18"/>
                <w:szCs w:val="18"/>
              </w:rPr>
            </w:pPr>
            <w:r>
              <w:rPr>
                <w:rFonts w:hint="eastAsia" w:asciiTheme="minorEastAsia" w:hAnsiTheme="minorEastAsia" w:cstheme="minorEastAsia"/>
                <w:color w:val="000000"/>
                <w:sz w:val="18"/>
                <w:szCs w:val="18"/>
              </w:rPr>
              <w:t>1946</w:t>
            </w:r>
          </w:p>
        </w:tc>
        <w:tc>
          <w:tcPr>
            <w:tcW w:w="2413" w:type="dxa"/>
            <w:tcBorders>
              <w:tl2br w:val="nil"/>
              <w:tr2bl w:val="nil"/>
            </w:tcBorders>
            <w:shd w:val="clear" w:color="auto" w:fill="FFFFFF"/>
          </w:tcPr>
          <w:p w14:paraId="42BB65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cstheme="minorEastAsia"/>
                <w:color w:val="000000"/>
                <w:sz w:val="18"/>
                <w:szCs w:val="18"/>
              </w:rPr>
            </w:pPr>
            <w:r>
              <w:rPr>
                <w:rFonts w:hint="eastAsia" w:asciiTheme="minorEastAsia" w:hAnsiTheme="minorEastAsia" w:cstheme="minorEastAsia"/>
                <w:color w:val="000000"/>
                <w:sz w:val="18"/>
                <w:szCs w:val="18"/>
              </w:rPr>
              <w:t>中段曼德勒附近</w:t>
            </w:r>
          </w:p>
        </w:tc>
        <w:tc>
          <w:tcPr>
            <w:tcW w:w="2131" w:type="dxa"/>
            <w:tcBorders>
              <w:tl2br w:val="nil"/>
              <w:tr2bl w:val="nil"/>
            </w:tcBorders>
            <w:shd w:val="clear" w:color="auto" w:fill="FFFFFF"/>
          </w:tcPr>
          <w:p w14:paraId="2A1F58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cstheme="minorEastAsia"/>
                <w:color w:val="000000"/>
                <w:sz w:val="18"/>
                <w:szCs w:val="18"/>
              </w:rPr>
            </w:pPr>
            <w:r>
              <w:rPr>
                <w:rFonts w:hint="eastAsia" w:asciiTheme="minorEastAsia" w:hAnsiTheme="minorEastAsia" w:cstheme="minorEastAsia"/>
                <w:color w:val="000000"/>
                <w:sz w:val="18"/>
                <w:szCs w:val="18"/>
              </w:rPr>
              <w:t>7.8</w:t>
            </w:r>
          </w:p>
        </w:tc>
        <w:tc>
          <w:tcPr>
            <w:tcW w:w="2131" w:type="dxa"/>
            <w:tcBorders>
              <w:tl2br w:val="nil"/>
              <w:tr2bl w:val="nil"/>
            </w:tcBorders>
            <w:shd w:val="clear" w:color="auto" w:fill="FFFFFF"/>
          </w:tcPr>
          <w:p w14:paraId="0F8DF48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cstheme="minorEastAsia"/>
                <w:color w:val="000000"/>
                <w:sz w:val="18"/>
                <w:szCs w:val="18"/>
              </w:rPr>
            </w:pPr>
            <w:r>
              <w:rPr>
                <w:rFonts w:hint="eastAsia" w:asciiTheme="minorEastAsia" w:hAnsiTheme="minorEastAsia" w:cstheme="minorEastAsia"/>
                <w:color w:val="000000"/>
                <w:sz w:val="18"/>
                <w:szCs w:val="18"/>
              </w:rPr>
              <w:t>喜马拉雅地震带</w:t>
            </w:r>
          </w:p>
        </w:tc>
      </w:tr>
      <w:tr w14:paraId="6A2699D2">
        <w:trPr>
          <w:jc w:val="center"/>
        </w:trPr>
        <w:tc>
          <w:tcPr>
            <w:tcW w:w="1847" w:type="dxa"/>
            <w:tcBorders>
              <w:tl2br w:val="nil"/>
              <w:tr2bl w:val="nil"/>
            </w:tcBorders>
            <w:shd w:val="clear" w:color="auto" w:fill="FFFFFF"/>
          </w:tcPr>
          <w:p w14:paraId="47378F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cstheme="minorEastAsia"/>
                <w:color w:val="000000"/>
                <w:sz w:val="18"/>
                <w:szCs w:val="18"/>
              </w:rPr>
            </w:pPr>
            <w:r>
              <w:rPr>
                <w:rFonts w:hint="eastAsia" w:asciiTheme="minorEastAsia" w:hAnsiTheme="minorEastAsia" w:cstheme="minorEastAsia"/>
                <w:color w:val="000000"/>
                <w:sz w:val="18"/>
                <w:szCs w:val="18"/>
              </w:rPr>
              <w:t>1956</w:t>
            </w:r>
          </w:p>
        </w:tc>
        <w:tc>
          <w:tcPr>
            <w:tcW w:w="2413" w:type="dxa"/>
            <w:tcBorders>
              <w:tl2br w:val="nil"/>
              <w:tr2bl w:val="nil"/>
            </w:tcBorders>
            <w:shd w:val="clear" w:color="auto" w:fill="FFFFFF"/>
          </w:tcPr>
          <w:p w14:paraId="397FBD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cstheme="minorEastAsia"/>
                <w:color w:val="000000"/>
                <w:sz w:val="18"/>
                <w:szCs w:val="18"/>
              </w:rPr>
            </w:pPr>
            <w:r>
              <w:rPr>
                <w:rFonts w:hint="eastAsia" w:asciiTheme="minorEastAsia" w:hAnsiTheme="minorEastAsia" w:cstheme="minorEastAsia"/>
                <w:color w:val="000000"/>
                <w:sz w:val="18"/>
                <w:szCs w:val="18"/>
              </w:rPr>
              <w:t>缅甸中段</w:t>
            </w:r>
          </w:p>
        </w:tc>
        <w:tc>
          <w:tcPr>
            <w:tcW w:w="2131" w:type="dxa"/>
            <w:tcBorders>
              <w:tl2br w:val="nil"/>
              <w:tr2bl w:val="nil"/>
            </w:tcBorders>
            <w:shd w:val="clear" w:color="auto" w:fill="FFFFFF"/>
          </w:tcPr>
          <w:p w14:paraId="7491FD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cstheme="minorEastAsia"/>
                <w:color w:val="000000"/>
                <w:sz w:val="18"/>
                <w:szCs w:val="18"/>
              </w:rPr>
            </w:pPr>
            <w:r>
              <w:rPr>
                <w:rFonts w:hint="eastAsia" w:asciiTheme="minorEastAsia" w:hAnsiTheme="minorEastAsia" w:cstheme="minorEastAsia"/>
                <w:color w:val="000000"/>
                <w:sz w:val="18"/>
                <w:szCs w:val="18"/>
              </w:rPr>
              <w:t>7.0</w:t>
            </w:r>
          </w:p>
        </w:tc>
        <w:tc>
          <w:tcPr>
            <w:tcW w:w="2131" w:type="dxa"/>
            <w:tcBorders>
              <w:tl2br w:val="nil"/>
              <w:tr2bl w:val="nil"/>
            </w:tcBorders>
            <w:shd w:val="clear" w:color="auto" w:fill="FFFFFF"/>
          </w:tcPr>
          <w:p w14:paraId="1FC52B9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cstheme="minorEastAsia"/>
                <w:color w:val="000000"/>
                <w:sz w:val="18"/>
                <w:szCs w:val="18"/>
              </w:rPr>
            </w:pPr>
            <w:r>
              <w:rPr>
                <w:rFonts w:hint="eastAsia" w:asciiTheme="minorEastAsia" w:hAnsiTheme="minorEastAsia" w:cstheme="minorEastAsia"/>
                <w:color w:val="000000"/>
                <w:sz w:val="18"/>
                <w:szCs w:val="18"/>
              </w:rPr>
              <w:t>喜马拉雅地震带</w:t>
            </w:r>
          </w:p>
        </w:tc>
      </w:tr>
      <w:tr w14:paraId="618F60CE">
        <w:trPr>
          <w:jc w:val="center"/>
        </w:trPr>
        <w:tc>
          <w:tcPr>
            <w:tcW w:w="1847" w:type="dxa"/>
            <w:tcBorders>
              <w:tl2br w:val="nil"/>
              <w:tr2bl w:val="nil"/>
            </w:tcBorders>
            <w:shd w:val="clear" w:color="auto" w:fill="FFFFFF"/>
          </w:tcPr>
          <w:p w14:paraId="65E7F63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cstheme="minorEastAsia"/>
                <w:color w:val="000000"/>
                <w:sz w:val="18"/>
                <w:szCs w:val="18"/>
              </w:rPr>
            </w:pPr>
            <w:r>
              <w:rPr>
                <w:rFonts w:hint="eastAsia" w:asciiTheme="minorEastAsia" w:hAnsiTheme="minorEastAsia" w:cstheme="minorEastAsia"/>
                <w:color w:val="000000"/>
                <w:sz w:val="18"/>
                <w:szCs w:val="18"/>
              </w:rPr>
              <w:t>2011</w:t>
            </w:r>
          </w:p>
        </w:tc>
        <w:tc>
          <w:tcPr>
            <w:tcW w:w="2413" w:type="dxa"/>
            <w:tcBorders>
              <w:tl2br w:val="nil"/>
              <w:tr2bl w:val="nil"/>
            </w:tcBorders>
            <w:shd w:val="clear" w:color="auto" w:fill="FFFFFF"/>
          </w:tcPr>
          <w:p w14:paraId="0EDC74A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cstheme="minorEastAsia"/>
                <w:color w:val="000000"/>
                <w:sz w:val="18"/>
                <w:szCs w:val="18"/>
              </w:rPr>
            </w:pPr>
            <w:r>
              <w:rPr>
                <w:rFonts w:hint="eastAsia" w:asciiTheme="minorEastAsia" w:hAnsiTheme="minorEastAsia" w:cstheme="minorEastAsia"/>
                <w:color w:val="000000"/>
                <w:sz w:val="18"/>
                <w:szCs w:val="18"/>
              </w:rPr>
              <w:t>缅甸东北部</w:t>
            </w:r>
          </w:p>
        </w:tc>
        <w:tc>
          <w:tcPr>
            <w:tcW w:w="2131" w:type="dxa"/>
            <w:tcBorders>
              <w:tl2br w:val="nil"/>
              <w:tr2bl w:val="nil"/>
            </w:tcBorders>
            <w:shd w:val="clear" w:color="auto" w:fill="FFFFFF"/>
          </w:tcPr>
          <w:p w14:paraId="3A7486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cstheme="minorEastAsia"/>
                <w:color w:val="000000"/>
                <w:sz w:val="18"/>
                <w:szCs w:val="18"/>
              </w:rPr>
            </w:pPr>
            <w:r>
              <w:rPr>
                <w:rFonts w:hint="eastAsia" w:asciiTheme="minorEastAsia" w:hAnsiTheme="minorEastAsia" w:cstheme="minorEastAsia"/>
                <w:color w:val="000000"/>
                <w:sz w:val="18"/>
                <w:szCs w:val="18"/>
              </w:rPr>
              <w:t>7.2</w:t>
            </w:r>
          </w:p>
        </w:tc>
        <w:tc>
          <w:tcPr>
            <w:tcW w:w="2131" w:type="dxa"/>
            <w:tcBorders>
              <w:tl2br w:val="nil"/>
              <w:tr2bl w:val="nil"/>
            </w:tcBorders>
            <w:shd w:val="clear" w:color="auto" w:fill="FFFFFF"/>
          </w:tcPr>
          <w:p w14:paraId="2364800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cstheme="minorEastAsia"/>
                <w:color w:val="000000"/>
                <w:sz w:val="18"/>
                <w:szCs w:val="18"/>
              </w:rPr>
            </w:pPr>
            <w:r>
              <w:rPr>
                <w:rFonts w:hint="eastAsia" w:asciiTheme="minorEastAsia" w:hAnsiTheme="minorEastAsia" w:cstheme="minorEastAsia"/>
                <w:color w:val="000000"/>
                <w:sz w:val="18"/>
                <w:szCs w:val="18"/>
              </w:rPr>
              <w:t>喜马拉雅地震带</w:t>
            </w:r>
          </w:p>
        </w:tc>
      </w:tr>
      <w:tr w14:paraId="69545358">
        <w:trPr>
          <w:jc w:val="center"/>
        </w:trPr>
        <w:tc>
          <w:tcPr>
            <w:tcW w:w="1847" w:type="dxa"/>
            <w:tcBorders>
              <w:tl2br w:val="nil"/>
              <w:tr2bl w:val="nil"/>
            </w:tcBorders>
            <w:shd w:val="clear" w:color="auto" w:fill="FFFFFF"/>
          </w:tcPr>
          <w:p w14:paraId="5481B2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cstheme="minorEastAsia"/>
                <w:color w:val="000000"/>
                <w:sz w:val="18"/>
                <w:szCs w:val="18"/>
              </w:rPr>
            </w:pPr>
            <w:r>
              <w:rPr>
                <w:rFonts w:hint="eastAsia" w:asciiTheme="minorEastAsia" w:hAnsiTheme="minorEastAsia" w:cstheme="minorEastAsia"/>
                <w:color w:val="000000"/>
                <w:sz w:val="18"/>
                <w:szCs w:val="18"/>
              </w:rPr>
              <w:t>2012</w:t>
            </w:r>
          </w:p>
        </w:tc>
        <w:tc>
          <w:tcPr>
            <w:tcW w:w="2413" w:type="dxa"/>
            <w:tcBorders>
              <w:tl2br w:val="nil"/>
              <w:tr2bl w:val="nil"/>
            </w:tcBorders>
            <w:shd w:val="clear" w:color="auto" w:fill="FFFFFF"/>
          </w:tcPr>
          <w:p w14:paraId="0EB349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cstheme="minorEastAsia"/>
                <w:color w:val="000000"/>
                <w:sz w:val="18"/>
                <w:szCs w:val="18"/>
              </w:rPr>
            </w:pPr>
            <w:r>
              <w:rPr>
                <w:rFonts w:hint="eastAsia" w:asciiTheme="minorEastAsia" w:hAnsiTheme="minorEastAsia" w:cstheme="minorEastAsia"/>
                <w:color w:val="000000"/>
                <w:sz w:val="18"/>
                <w:szCs w:val="18"/>
              </w:rPr>
              <w:t>缅甸中部</w:t>
            </w:r>
          </w:p>
        </w:tc>
        <w:tc>
          <w:tcPr>
            <w:tcW w:w="2131" w:type="dxa"/>
            <w:tcBorders>
              <w:tl2br w:val="nil"/>
              <w:tr2bl w:val="nil"/>
            </w:tcBorders>
            <w:shd w:val="clear" w:color="auto" w:fill="FFFFFF"/>
          </w:tcPr>
          <w:p w14:paraId="0F1817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cstheme="minorEastAsia"/>
                <w:color w:val="000000"/>
                <w:sz w:val="18"/>
                <w:szCs w:val="18"/>
              </w:rPr>
            </w:pPr>
            <w:r>
              <w:rPr>
                <w:rFonts w:hint="eastAsia" w:asciiTheme="minorEastAsia" w:hAnsiTheme="minorEastAsia" w:cstheme="minorEastAsia"/>
                <w:color w:val="000000"/>
                <w:sz w:val="18"/>
                <w:szCs w:val="18"/>
              </w:rPr>
              <w:t>7.0</w:t>
            </w:r>
          </w:p>
        </w:tc>
        <w:tc>
          <w:tcPr>
            <w:tcW w:w="2131" w:type="dxa"/>
            <w:tcBorders>
              <w:tl2br w:val="nil"/>
              <w:tr2bl w:val="nil"/>
            </w:tcBorders>
            <w:shd w:val="clear" w:color="auto" w:fill="FFFFFF"/>
          </w:tcPr>
          <w:p w14:paraId="2A50658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cstheme="minorEastAsia"/>
                <w:color w:val="000000"/>
                <w:sz w:val="18"/>
                <w:szCs w:val="18"/>
              </w:rPr>
            </w:pPr>
            <w:r>
              <w:rPr>
                <w:rFonts w:hint="eastAsia" w:asciiTheme="minorEastAsia" w:hAnsiTheme="minorEastAsia" w:cstheme="minorEastAsia"/>
                <w:color w:val="000000"/>
                <w:sz w:val="18"/>
                <w:szCs w:val="18"/>
              </w:rPr>
              <w:t>喜马拉雅地震带</w:t>
            </w:r>
          </w:p>
        </w:tc>
      </w:tr>
      <w:tr w14:paraId="39058E98">
        <w:trPr>
          <w:jc w:val="center"/>
        </w:trPr>
        <w:tc>
          <w:tcPr>
            <w:tcW w:w="1847" w:type="dxa"/>
            <w:tcBorders>
              <w:tl2br w:val="nil"/>
              <w:tr2bl w:val="nil"/>
            </w:tcBorders>
            <w:shd w:val="clear" w:color="auto" w:fill="FFFFFF"/>
          </w:tcPr>
          <w:p w14:paraId="630E4C9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cstheme="minorEastAsia"/>
                <w:color w:val="000000"/>
                <w:sz w:val="18"/>
                <w:szCs w:val="18"/>
              </w:rPr>
            </w:pPr>
            <w:r>
              <w:rPr>
                <w:rFonts w:hint="eastAsia" w:asciiTheme="minorEastAsia" w:hAnsiTheme="minorEastAsia" w:cstheme="minorEastAsia"/>
                <w:color w:val="000000"/>
                <w:sz w:val="18"/>
                <w:szCs w:val="18"/>
              </w:rPr>
              <w:t>2016</w:t>
            </w:r>
          </w:p>
        </w:tc>
        <w:tc>
          <w:tcPr>
            <w:tcW w:w="2413" w:type="dxa"/>
            <w:tcBorders>
              <w:tl2br w:val="nil"/>
              <w:tr2bl w:val="nil"/>
            </w:tcBorders>
            <w:shd w:val="clear" w:color="auto" w:fill="FFFFFF"/>
          </w:tcPr>
          <w:p w14:paraId="369DB6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cstheme="minorEastAsia"/>
                <w:color w:val="000000"/>
                <w:sz w:val="18"/>
                <w:szCs w:val="18"/>
              </w:rPr>
            </w:pPr>
            <w:r>
              <w:rPr>
                <w:rFonts w:hint="eastAsia" w:asciiTheme="minorEastAsia" w:hAnsiTheme="minorEastAsia" w:cstheme="minorEastAsia"/>
                <w:color w:val="000000"/>
                <w:sz w:val="18"/>
                <w:szCs w:val="18"/>
              </w:rPr>
              <w:t>缅甸中部</w:t>
            </w:r>
          </w:p>
        </w:tc>
        <w:tc>
          <w:tcPr>
            <w:tcW w:w="2131" w:type="dxa"/>
            <w:tcBorders>
              <w:tl2br w:val="nil"/>
              <w:tr2bl w:val="nil"/>
            </w:tcBorders>
            <w:shd w:val="clear" w:color="auto" w:fill="FFFFFF"/>
          </w:tcPr>
          <w:p w14:paraId="5B7E27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cstheme="minorEastAsia"/>
                <w:color w:val="000000"/>
                <w:sz w:val="18"/>
                <w:szCs w:val="18"/>
              </w:rPr>
            </w:pPr>
            <w:r>
              <w:rPr>
                <w:rFonts w:hint="eastAsia" w:asciiTheme="minorEastAsia" w:hAnsiTheme="minorEastAsia" w:cstheme="minorEastAsia"/>
                <w:color w:val="000000"/>
                <w:sz w:val="18"/>
                <w:szCs w:val="18"/>
              </w:rPr>
              <w:t>7.2</w:t>
            </w:r>
          </w:p>
        </w:tc>
        <w:tc>
          <w:tcPr>
            <w:tcW w:w="2131" w:type="dxa"/>
            <w:tcBorders>
              <w:tl2br w:val="nil"/>
              <w:tr2bl w:val="nil"/>
            </w:tcBorders>
            <w:shd w:val="clear" w:color="auto" w:fill="FFFFFF"/>
          </w:tcPr>
          <w:p w14:paraId="11CB22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cstheme="minorEastAsia"/>
                <w:color w:val="000000"/>
                <w:sz w:val="18"/>
                <w:szCs w:val="18"/>
              </w:rPr>
            </w:pPr>
            <w:r>
              <w:rPr>
                <w:rFonts w:hint="eastAsia" w:asciiTheme="minorEastAsia" w:hAnsiTheme="minorEastAsia" w:cstheme="minorEastAsia"/>
                <w:color w:val="000000"/>
                <w:sz w:val="18"/>
                <w:szCs w:val="18"/>
              </w:rPr>
              <w:t>喜马拉雅地震带</w:t>
            </w:r>
          </w:p>
        </w:tc>
      </w:tr>
      <w:tr w14:paraId="3BB56621">
        <w:trPr>
          <w:jc w:val="center"/>
        </w:trPr>
        <w:tc>
          <w:tcPr>
            <w:tcW w:w="1847" w:type="dxa"/>
            <w:tcBorders>
              <w:tl2br w:val="nil"/>
              <w:tr2bl w:val="nil"/>
            </w:tcBorders>
            <w:shd w:val="clear" w:color="auto" w:fill="FFFFFF"/>
          </w:tcPr>
          <w:p w14:paraId="253C1E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cstheme="minorEastAsia"/>
                <w:color w:val="000000"/>
                <w:sz w:val="18"/>
                <w:szCs w:val="18"/>
              </w:rPr>
            </w:pPr>
            <w:r>
              <w:rPr>
                <w:rFonts w:hint="eastAsia" w:asciiTheme="minorEastAsia" w:hAnsiTheme="minorEastAsia" w:cstheme="minorEastAsia"/>
                <w:color w:val="000000"/>
                <w:sz w:val="18"/>
                <w:szCs w:val="18"/>
              </w:rPr>
              <w:t>2025</w:t>
            </w:r>
          </w:p>
        </w:tc>
        <w:tc>
          <w:tcPr>
            <w:tcW w:w="2413" w:type="dxa"/>
            <w:tcBorders>
              <w:tl2br w:val="nil"/>
              <w:tr2bl w:val="nil"/>
            </w:tcBorders>
            <w:shd w:val="clear" w:color="auto" w:fill="FFFFFF"/>
          </w:tcPr>
          <w:p w14:paraId="0E7B75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cstheme="minorEastAsia"/>
                <w:color w:val="000000"/>
                <w:sz w:val="18"/>
                <w:szCs w:val="18"/>
              </w:rPr>
            </w:pPr>
            <w:r>
              <w:rPr>
                <w:rFonts w:hint="eastAsia" w:asciiTheme="minorEastAsia" w:hAnsiTheme="minorEastAsia" w:cstheme="minorEastAsia"/>
                <w:color w:val="000000"/>
                <w:sz w:val="18"/>
                <w:szCs w:val="18"/>
              </w:rPr>
              <w:t>曼德勒实皆</w:t>
            </w:r>
          </w:p>
        </w:tc>
        <w:tc>
          <w:tcPr>
            <w:tcW w:w="2131" w:type="dxa"/>
            <w:tcBorders>
              <w:tl2br w:val="nil"/>
              <w:tr2bl w:val="nil"/>
            </w:tcBorders>
            <w:shd w:val="clear" w:color="auto" w:fill="FFFFFF"/>
          </w:tcPr>
          <w:p w14:paraId="3161A9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cstheme="minorEastAsia"/>
                <w:color w:val="000000"/>
                <w:sz w:val="18"/>
                <w:szCs w:val="18"/>
              </w:rPr>
            </w:pPr>
            <w:r>
              <w:rPr>
                <w:rFonts w:hint="eastAsia" w:asciiTheme="minorEastAsia" w:hAnsiTheme="minorEastAsia" w:cstheme="minorEastAsia"/>
                <w:color w:val="000000"/>
                <w:sz w:val="18"/>
                <w:szCs w:val="18"/>
              </w:rPr>
              <w:t>7.9</w:t>
            </w:r>
          </w:p>
        </w:tc>
        <w:tc>
          <w:tcPr>
            <w:tcW w:w="2131" w:type="dxa"/>
            <w:tcBorders>
              <w:tl2br w:val="nil"/>
              <w:tr2bl w:val="nil"/>
            </w:tcBorders>
            <w:shd w:val="clear" w:color="auto" w:fill="FFFFFF"/>
          </w:tcPr>
          <w:p w14:paraId="0ABE259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cstheme="minorEastAsia"/>
                <w:color w:val="000000"/>
                <w:sz w:val="18"/>
                <w:szCs w:val="18"/>
              </w:rPr>
            </w:pPr>
            <w:r>
              <w:rPr>
                <w:rFonts w:hint="eastAsia" w:asciiTheme="minorEastAsia" w:hAnsiTheme="minorEastAsia" w:cstheme="minorEastAsia"/>
                <w:color w:val="000000"/>
                <w:sz w:val="18"/>
                <w:szCs w:val="18"/>
              </w:rPr>
              <w:t>喜马拉雅地震带</w:t>
            </w:r>
          </w:p>
        </w:tc>
      </w:tr>
    </w:tbl>
    <w:p w14:paraId="391BCA05">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rPr>
          <w:rFonts w:hint="eastAsia" w:asciiTheme="minorEastAsia" w:hAnsiTheme="minorEastAsia" w:cstheme="minorEastAsia"/>
          <w:b/>
          <w:bCs/>
          <w:szCs w:val="21"/>
        </w:rPr>
      </w:pPr>
      <w:r>
        <w:rPr>
          <w:rFonts w:hint="eastAsia" w:asciiTheme="minorEastAsia" w:hAnsiTheme="minorEastAsia" w:cstheme="minorEastAsia"/>
          <w:b/>
          <w:bCs/>
          <w:szCs w:val="21"/>
        </w:rPr>
        <w:t>表1  实皆断裂带近150年7.0级以上地震分布</w:t>
      </w:r>
    </w:p>
    <w:p w14:paraId="7A21E6F9">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center"/>
        <w:textAlignment w:val="auto"/>
        <w:rPr>
          <w:rFonts w:hint="eastAsia" w:asciiTheme="minorEastAsia" w:hAnsiTheme="minorEastAsia" w:cstheme="minorEastAsia"/>
          <w:sz w:val="24"/>
        </w:rPr>
      </w:pPr>
    </w:p>
    <w:p w14:paraId="01A6D167">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2"/>
        <w:rPr>
          <w:rFonts w:hint="eastAsia" w:ascii="黑体" w:hAnsi="黑体" w:eastAsia="黑体" w:cs="黑体"/>
          <w:sz w:val="28"/>
          <w:szCs w:val="28"/>
        </w:rPr>
      </w:pPr>
      <w:bookmarkStart w:id="92" w:name="_Toc1025680855"/>
      <w:bookmarkStart w:id="93" w:name="_Toc1221425162"/>
      <w:bookmarkStart w:id="94" w:name="_Toc624653426"/>
      <w:bookmarkStart w:id="95" w:name="_Toc765072453"/>
      <w:bookmarkStart w:id="96" w:name="_Toc338880609"/>
      <w:bookmarkStart w:id="97" w:name="_Toc1368937829"/>
      <w:bookmarkStart w:id="98" w:name="_Toc1599239240"/>
      <w:r>
        <w:rPr>
          <w:rFonts w:hint="eastAsia" w:ascii="黑体" w:hAnsi="黑体" w:eastAsia="黑体" w:cs="黑体"/>
          <w:sz w:val="28"/>
          <w:szCs w:val="28"/>
        </w:rPr>
        <w:t>3.1.2缅甸曼德勒强震</w:t>
      </w:r>
      <w:bookmarkEnd w:id="92"/>
      <w:bookmarkEnd w:id="93"/>
      <w:bookmarkEnd w:id="94"/>
      <w:bookmarkEnd w:id="95"/>
      <w:bookmarkEnd w:id="96"/>
      <w:bookmarkEnd w:id="97"/>
      <w:bookmarkEnd w:id="98"/>
    </w:p>
    <w:p w14:paraId="77BC021B">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pPr>
      <w:r>
        <w:rPr>
          <w:rFonts w:hint="eastAsia" w:asciiTheme="minorEastAsia" w:hAnsiTheme="minorEastAsia" w:cstheme="minorEastAsia"/>
          <w:sz w:val="24"/>
        </w:rPr>
        <w:t>2025年4月15日，缅甸国家管理委员会的一则通报让全球揪心——3月28日发生的7.9级强震已造成3706人死亡、5027人受伤，另有130人失踪。这场被联合国称为“十年内最严重陆地地震”的灾难，不仅摧毁了千年佛塔林立的曼德勒古城，更是将缅甸进入了灾后重建的漫长黑夜。但在这场地震灾害中，国际社会跨越国界的驰援，正为废墟中的幸存者点亮了希望。</w:t>
      </w:r>
    </w:p>
    <w:p w14:paraId="02A9ADAA">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2"/>
        <w:rPr>
          <w:rFonts w:hint="eastAsia" w:ascii="黑体" w:hAnsi="黑体" w:eastAsia="黑体" w:cs="黑体"/>
          <w:sz w:val="28"/>
          <w:szCs w:val="28"/>
        </w:rPr>
      </w:pPr>
      <w:bookmarkStart w:id="99" w:name="_Toc1650064246"/>
      <w:bookmarkStart w:id="100" w:name="_Toc766895516"/>
      <w:bookmarkStart w:id="101" w:name="_Toc1588122982"/>
      <w:bookmarkStart w:id="102" w:name="_Toc508580828"/>
      <w:bookmarkStart w:id="103" w:name="_Toc696516061"/>
      <w:bookmarkStart w:id="104" w:name="_Toc439763619"/>
      <w:bookmarkStart w:id="105" w:name="_Toc1745781692"/>
      <w:r>
        <w:rPr>
          <w:rFonts w:hint="eastAsia" w:ascii="黑体" w:hAnsi="黑体" w:eastAsia="黑体" w:cs="黑体"/>
          <w:sz w:val="28"/>
          <w:szCs w:val="28"/>
        </w:rPr>
        <w:t>3.1.3缅甸曼德勒余震</w:t>
      </w:r>
      <w:bookmarkEnd w:id="99"/>
      <w:bookmarkEnd w:id="100"/>
      <w:bookmarkEnd w:id="101"/>
      <w:bookmarkEnd w:id="102"/>
      <w:bookmarkEnd w:id="103"/>
      <w:bookmarkEnd w:id="104"/>
      <w:bookmarkEnd w:id="105"/>
    </w:p>
    <w:p w14:paraId="42780855">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eastAsia" w:asciiTheme="majorEastAsia" w:hAnsiTheme="majorEastAsia" w:eastAsiaTheme="majorEastAsia" w:cstheme="majorEastAsia"/>
          <w:b/>
          <w:bCs/>
        </w:rPr>
      </w:pPr>
      <w:r>
        <w:rPr>
          <w:rFonts w:hint="eastAsia" w:asciiTheme="minorEastAsia" w:hAnsiTheme="minorEastAsia" w:cstheme="minorEastAsia"/>
          <w:sz w:val="24"/>
        </w:rPr>
        <w:t>根据缅甸当地的气象和水文局最新数据，截至2025年4月3日8时30分，3.28曼德勒7.9级强震后已累计监测到63次余震，震级范围从2.8级至7.5级不等。其中最强余震发生于震后次日，达7.5级；最近一次余震（4月3日）震级为3.9级。余震频次随时间推移呈现递减趋势，但专家提出仍有可能持续数周。</w:t>
      </w:r>
    </w:p>
    <w:p w14:paraId="11E479DA">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1"/>
        <w:rPr>
          <w:rFonts w:hint="eastAsia" w:ascii="黑体" w:hAnsi="黑体" w:eastAsia="黑体" w:cs="黑体"/>
          <w:sz w:val="28"/>
          <w:szCs w:val="28"/>
        </w:rPr>
      </w:pPr>
      <w:bookmarkStart w:id="106" w:name="_Toc16088118"/>
      <w:bookmarkStart w:id="107" w:name="_Toc1615915206"/>
      <w:bookmarkStart w:id="108" w:name="_Toc1917704701"/>
      <w:bookmarkStart w:id="109" w:name="_Toc508709911"/>
      <w:r>
        <w:rPr>
          <w:rFonts w:hint="eastAsia" w:ascii="黑体" w:hAnsi="黑体" w:eastAsia="黑体" w:cs="黑体"/>
          <w:sz w:val="28"/>
          <w:szCs w:val="28"/>
        </w:rPr>
        <w:t>3.2.基础设施遭受损坏</w:t>
      </w:r>
      <w:bookmarkEnd w:id="106"/>
      <w:bookmarkEnd w:id="107"/>
      <w:bookmarkEnd w:id="108"/>
      <w:bookmarkEnd w:id="109"/>
    </w:p>
    <w:p w14:paraId="052369EE">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cstheme="minorEastAsia"/>
          <w:color w:val="FF0000"/>
        </w:rPr>
      </w:pPr>
      <w:r>
        <w:rPr>
          <w:rFonts w:hint="eastAsia" w:asciiTheme="minorEastAsia" w:hAnsiTheme="minorEastAsia" w:cstheme="minorEastAsia"/>
          <w:sz w:val="24"/>
        </w:rPr>
        <w:t>基础设施损坏严重，供水供电、道路交通、住房设施等遭到不同程度的破坏，供水管道破环严重，曼德勒的供水系统面临这全面瘫痪，伊洛瓦底江上游区域的化工厂泄漏，污染了水源，水质检验发现大肠杆菌的超标量达到了惊人的12倍，这对当地居民生活起居带来了严重的影响。并且由于供水系统遭到破坏修复速度比较慢，很多灾民不得不饮用受到污染的水源，导致霍乱等传染病不断的出现，废墟不能及时清理，堆积如山的垃圾和尸体的腐烂成为病原体滋生的原因之一。</w:t>
      </w:r>
    </w:p>
    <w:p w14:paraId="3AA378BF">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2"/>
        <w:rPr>
          <w:rFonts w:hint="eastAsia" w:ascii="黑体" w:hAnsi="黑体" w:eastAsia="黑体" w:cs="黑体"/>
          <w:sz w:val="28"/>
          <w:szCs w:val="28"/>
        </w:rPr>
      </w:pPr>
      <w:bookmarkStart w:id="110" w:name="_Toc1957543351"/>
      <w:bookmarkStart w:id="111" w:name="_Toc744133794"/>
      <w:bookmarkStart w:id="112" w:name="_Toc457331007"/>
      <w:bookmarkStart w:id="113" w:name="_Toc444829913"/>
      <w:bookmarkStart w:id="114" w:name="_Toc755075470"/>
      <w:bookmarkStart w:id="115" w:name="_Toc150604435"/>
      <w:bookmarkStart w:id="116" w:name="_Toc1608667280"/>
      <w:r>
        <w:rPr>
          <w:rFonts w:hint="eastAsia" w:ascii="黑体" w:hAnsi="黑体" w:eastAsia="黑体" w:cs="黑体"/>
          <w:sz w:val="28"/>
          <w:szCs w:val="28"/>
        </w:rPr>
        <w:t>3.2.1天气高温多雨</w:t>
      </w:r>
      <w:bookmarkEnd w:id="110"/>
      <w:bookmarkEnd w:id="111"/>
      <w:bookmarkEnd w:id="112"/>
      <w:bookmarkEnd w:id="113"/>
      <w:bookmarkEnd w:id="114"/>
      <w:bookmarkEnd w:id="115"/>
      <w:bookmarkEnd w:id="116"/>
    </w:p>
    <w:p w14:paraId="2C5C1473">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cstheme="minorEastAsia"/>
          <w:sz w:val="24"/>
        </w:rPr>
      </w:pPr>
      <w:r>
        <w:rPr>
          <w:rFonts w:hint="eastAsia" w:asciiTheme="minorEastAsia" w:hAnsiTheme="minorEastAsia" w:cstheme="minorEastAsia"/>
          <w:sz w:val="24"/>
        </w:rPr>
        <w:t>缅甸属于热带季风气候，有着高温多雨的显著特点，，缅甸中部地震灾区气温普遍超过37摄氏度，局部地区更是高达40摄氏度以上，给灾后救援带来了极大的挑战和影响。同时高温多雨引发的洪涝灾害，也使水资源再次遭到污染，地震过后大量的积水加快了蚊虫的繁殖，蚊虫的密度再次升高，是地震前的4倍之多。应急安置点人口过于密集，垃圾堆积如山，生活环境及其恶劣，加剧了霍乱和登革热的爆发和传播。</w:t>
      </w:r>
    </w:p>
    <w:p w14:paraId="63894A2E">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cstheme="minorEastAsia"/>
          <w:sz w:val="24"/>
        </w:rPr>
      </w:pPr>
    </w:p>
    <w:p w14:paraId="24EFAEB7">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drawing>
          <wp:inline distT="0" distB="0" distL="114300" distR="114300">
            <wp:extent cx="5720080" cy="3230245"/>
            <wp:effectExtent l="0" t="0" r="20320" b="20955"/>
            <wp:docPr id="5"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A0E5A74">
      <w:pPr>
        <w:pStyle w:val="4"/>
        <w:keepNext w:val="0"/>
        <w:keepLines w:val="0"/>
        <w:pageBreakBefore w:val="0"/>
        <w:widowControl w:val="0"/>
        <w:kinsoku/>
        <w:wordWrap/>
        <w:overflowPunct/>
        <w:topLinePunct w:val="0"/>
        <w:autoSpaceDE/>
        <w:autoSpaceDN/>
        <w:bidi w:val="0"/>
        <w:adjustRightInd/>
        <w:snapToGrid/>
        <w:spacing w:line="240" w:lineRule="auto"/>
        <w:jc w:val="center"/>
        <w:textAlignment w:val="auto"/>
      </w:pPr>
      <w:r>
        <w:t xml:space="preserve">图 </w:t>
      </w:r>
      <w:r>
        <w:fldChar w:fldCharType="begin"/>
      </w:r>
      <w:r>
        <w:instrText xml:space="preserve"> SEQ 图 \* ARABIC </w:instrText>
      </w:r>
      <w:r>
        <w:fldChar w:fldCharType="separate"/>
      </w:r>
      <w:r>
        <w:t>2</w:t>
      </w:r>
      <w:r>
        <w:fldChar w:fldCharType="end"/>
      </w:r>
      <w:r>
        <w:rPr>
          <w:rFonts w:hint="eastAsia"/>
        </w:rPr>
        <w:t>曼德勒3.28地震前后气温折线图</w:t>
      </w:r>
    </w:p>
    <w:p w14:paraId="33B0E1EB">
      <w:pPr>
        <w:keepNext w:val="0"/>
        <w:keepLines w:val="0"/>
        <w:pageBreakBefore w:val="0"/>
        <w:widowControl w:val="0"/>
        <w:kinsoku/>
        <w:wordWrap/>
        <w:overflowPunct/>
        <w:topLinePunct w:val="0"/>
        <w:autoSpaceDE/>
        <w:autoSpaceDN/>
        <w:bidi w:val="0"/>
        <w:adjustRightInd/>
        <w:snapToGrid/>
        <w:spacing w:line="240" w:lineRule="auto"/>
        <w:textAlignment w:val="auto"/>
      </w:pPr>
    </w:p>
    <w:p w14:paraId="23D7BCAE">
      <w:pPr>
        <w:keepNext w:val="0"/>
        <w:keepLines w:val="0"/>
        <w:pageBreakBefore w:val="0"/>
        <w:widowControl w:val="0"/>
        <w:kinsoku/>
        <w:wordWrap/>
        <w:overflowPunct/>
        <w:topLinePunct w:val="0"/>
        <w:autoSpaceDE/>
        <w:autoSpaceDN/>
        <w:bidi w:val="0"/>
        <w:adjustRightInd/>
        <w:snapToGrid/>
        <w:spacing w:line="240" w:lineRule="auto"/>
        <w:textAlignment w:val="auto"/>
      </w:pPr>
    </w:p>
    <w:p w14:paraId="697088DB">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2"/>
        <w:rPr>
          <w:rFonts w:hint="eastAsia" w:ascii="黑体" w:hAnsi="黑体" w:eastAsia="黑体" w:cs="黑体"/>
          <w:sz w:val="28"/>
          <w:szCs w:val="28"/>
        </w:rPr>
      </w:pPr>
      <w:bookmarkStart w:id="117" w:name="_Toc1072554167"/>
      <w:bookmarkStart w:id="118" w:name="_Toc51859230"/>
      <w:bookmarkStart w:id="119" w:name="_Toc518262036"/>
      <w:bookmarkStart w:id="120" w:name="_Toc1859399277"/>
      <w:bookmarkStart w:id="121" w:name="_Toc1473002879"/>
      <w:bookmarkStart w:id="122" w:name="_Toc981628217"/>
      <w:bookmarkStart w:id="123" w:name="_Toc865772584"/>
      <w:r>
        <w:rPr>
          <w:rFonts w:hint="eastAsia" w:ascii="黑体" w:hAnsi="黑体" w:eastAsia="黑体" w:cs="黑体"/>
          <w:sz w:val="28"/>
          <w:szCs w:val="28"/>
        </w:rPr>
        <w:t>3.2.2登革热等传染病暴发</w:t>
      </w:r>
      <w:bookmarkEnd w:id="117"/>
      <w:bookmarkEnd w:id="118"/>
      <w:bookmarkEnd w:id="119"/>
      <w:bookmarkEnd w:id="120"/>
      <w:bookmarkEnd w:id="121"/>
      <w:bookmarkEnd w:id="122"/>
      <w:bookmarkEnd w:id="123"/>
    </w:p>
    <w:p w14:paraId="1D3F2336">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cstheme="minorEastAsia"/>
          <w:sz w:val="24"/>
        </w:rPr>
      </w:pPr>
      <w:r>
        <w:rPr>
          <w:rFonts w:hint="eastAsia" w:asciiTheme="minorEastAsia" w:hAnsiTheme="minorEastAsia" w:cstheme="minorEastAsia"/>
          <w:sz w:val="24"/>
        </w:rPr>
        <w:t>本文主要研究传染病；根据最新情况发现曼德勒地区灾后已爆发的传染病有霍乱、登革热、疟疾等，其中霍乱病例高达568例，死亡率达到惊人的3%”，登革热病例则为392例，他们主要都集中在曼德勒市及周边的村镇地区，疟疾确诊病例为215例，主要出现在森林周边的村庄。具有传播迅速的特征，和水资源收到污染有很大的关系。</w:t>
      </w:r>
    </w:p>
    <w:p w14:paraId="1A36867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cstheme="minorEastAsia"/>
        </w:rPr>
      </w:pPr>
    </w:p>
    <w:p w14:paraId="3C86F38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cstheme="minorEastAsia"/>
        </w:rPr>
      </w:pPr>
    </w:p>
    <w:p w14:paraId="1CF3D93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cstheme="minorEastAsia"/>
        </w:rPr>
      </w:pPr>
    </w:p>
    <w:p w14:paraId="4D1DB36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cstheme="minorEastAsia"/>
        </w:rPr>
      </w:pPr>
    </w:p>
    <w:p w14:paraId="7F33F699">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cstheme="minorEastAsia"/>
        </w:rPr>
      </w:pPr>
    </w:p>
    <w:p w14:paraId="2AC12BA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cstheme="minorEastAsia"/>
        </w:rPr>
      </w:pPr>
    </w:p>
    <w:p w14:paraId="511EB0C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cstheme="minorEastAsia"/>
        </w:rPr>
      </w:pPr>
    </w:p>
    <w:p w14:paraId="5D59B5B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cstheme="minorEastAsia"/>
        </w:rPr>
      </w:pPr>
    </w:p>
    <w:p w14:paraId="099B7579">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cstheme="minorEastAsia"/>
        </w:rPr>
      </w:pPr>
    </w:p>
    <w:p w14:paraId="603DF6F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cstheme="minorEastAsia"/>
        </w:rPr>
      </w:pPr>
    </w:p>
    <w:p w14:paraId="71875E0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cstheme="minorEastAsia"/>
        </w:rPr>
      </w:pPr>
    </w:p>
    <w:p w14:paraId="309B3D8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cstheme="minorEastAsia"/>
        </w:rPr>
      </w:pPr>
    </w:p>
    <w:p w14:paraId="38D05CE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cstheme="minorEastAsia"/>
        </w:rPr>
      </w:pPr>
    </w:p>
    <w:p w14:paraId="425DF12A">
      <w:pPr>
        <w:rPr>
          <w:rFonts w:hint="eastAsia" w:ascii="黑体" w:hAnsi="黑体" w:eastAsia="黑体" w:cs="黑体"/>
          <w:b/>
          <w:bCs/>
          <w:sz w:val="30"/>
          <w:szCs w:val="30"/>
        </w:rPr>
      </w:pPr>
      <w:bookmarkStart w:id="124" w:name="_Toc440151851"/>
      <w:bookmarkStart w:id="125" w:name="_Toc1256066865"/>
      <w:bookmarkStart w:id="126" w:name="_Toc1428335531"/>
      <w:bookmarkStart w:id="127" w:name="_Toc1867201575"/>
      <w:r>
        <w:rPr>
          <w:rFonts w:hint="eastAsia" w:ascii="黑体" w:hAnsi="黑体" w:eastAsia="黑体" w:cs="黑体"/>
          <w:b/>
          <w:bCs/>
          <w:sz w:val="30"/>
          <w:szCs w:val="30"/>
        </w:rPr>
        <w:br w:type="page"/>
      </w:r>
    </w:p>
    <w:p w14:paraId="2C88676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Theme="minorEastAsia" w:hAnsiTheme="minorEastAsia" w:cstheme="minorEastAsia"/>
        </w:rPr>
      </w:pPr>
      <w:r>
        <w:rPr>
          <w:rFonts w:hint="eastAsia" w:ascii="黑体" w:hAnsi="黑体" w:eastAsia="黑体" w:cs="黑体"/>
          <w:b/>
          <w:bCs/>
          <w:sz w:val="30"/>
          <w:szCs w:val="30"/>
        </w:rPr>
        <w:t>第四章 灾后传染病传播特征与原因分析</w:t>
      </w:r>
      <w:bookmarkEnd w:id="124"/>
      <w:bookmarkEnd w:id="125"/>
      <w:bookmarkEnd w:id="126"/>
      <w:bookmarkEnd w:id="127"/>
    </w:p>
    <w:p w14:paraId="07F2B1D5">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1"/>
        <w:rPr>
          <w:rFonts w:hint="eastAsia" w:asciiTheme="minorEastAsia" w:hAnsiTheme="minorEastAsia" w:cstheme="minorEastAsia"/>
          <w:sz w:val="24"/>
        </w:rPr>
      </w:pPr>
      <w:bookmarkStart w:id="128" w:name="_Toc1463063351"/>
      <w:bookmarkStart w:id="129" w:name="_Toc878337414"/>
      <w:bookmarkStart w:id="130" w:name="_Toc951550045"/>
      <w:bookmarkStart w:id="131" w:name="_Toc1698479489"/>
      <w:r>
        <w:rPr>
          <w:rFonts w:hint="eastAsia" w:ascii="黑体" w:hAnsi="黑体" w:eastAsia="黑体" w:cs="黑体"/>
          <w:sz w:val="28"/>
          <w:szCs w:val="28"/>
        </w:rPr>
        <w:t>4.1灾后传染病传播特征</w:t>
      </w:r>
      <w:bookmarkEnd w:id="128"/>
      <w:bookmarkEnd w:id="129"/>
      <w:bookmarkEnd w:id="130"/>
      <w:bookmarkEnd w:id="131"/>
    </w:p>
    <w:p w14:paraId="049CF7B3">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cstheme="minorEastAsia"/>
          <w:sz w:val="24"/>
        </w:rPr>
      </w:pPr>
      <w:r>
        <w:rPr>
          <w:rFonts w:hint="eastAsia" w:asciiTheme="minorEastAsia" w:hAnsiTheme="minorEastAsia" w:cstheme="minorEastAsia"/>
          <w:sz w:val="24"/>
        </w:rPr>
        <w:t>水污染导致的，霍乱、登革热这些消化道传染病，在曼德勒都有确诊病例。而且在高温的影响下蚊虫的密度增加，疟疾、登革热这些以蚊虫为媒介的传染病也更容易扩散。</w:t>
      </w:r>
    </w:p>
    <w:p w14:paraId="14D72DCD">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3"/>
        <w:rPr>
          <w:rFonts w:hint="eastAsia" w:ascii="黑体" w:hAnsi="黑体" w:eastAsia="黑体" w:cs="黑体"/>
          <w:sz w:val="28"/>
          <w:szCs w:val="28"/>
        </w:rPr>
      </w:pPr>
      <w:bookmarkStart w:id="132" w:name="_Toc603327948"/>
      <w:bookmarkStart w:id="133" w:name="_Toc1488708484"/>
      <w:bookmarkStart w:id="134" w:name="_Toc2106695509"/>
      <w:bookmarkStart w:id="135" w:name="_Toc390887106"/>
      <w:bookmarkStart w:id="136" w:name="_Toc1689633338"/>
      <w:bookmarkStart w:id="137" w:name="_Toc1992135699"/>
      <w:bookmarkStart w:id="138" w:name="_Toc414327620"/>
      <w:r>
        <w:rPr>
          <w:rFonts w:hint="eastAsia" w:ascii="黑体" w:hAnsi="黑体" w:eastAsia="黑体" w:cs="黑体"/>
          <w:sz w:val="28"/>
          <w:szCs w:val="28"/>
        </w:rPr>
        <w:t>4.1.1 登革热传播</w:t>
      </w:r>
      <w:bookmarkEnd w:id="132"/>
      <w:bookmarkEnd w:id="133"/>
      <w:bookmarkEnd w:id="134"/>
      <w:bookmarkEnd w:id="135"/>
      <w:bookmarkEnd w:id="136"/>
      <w:bookmarkEnd w:id="137"/>
      <w:bookmarkEnd w:id="138"/>
    </w:p>
    <w:p w14:paraId="1E04C58D">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cstheme="minorEastAsia"/>
          <w:sz w:val="24"/>
        </w:rPr>
      </w:pPr>
      <w:r>
        <w:rPr>
          <w:rFonts w:hint="eastAsia" w:asciiTheme="minorEastAsia" w:hAnsiTheme="minorEastAsia" w:cstheme="minorEastAsia"/>
          <w:sz w:val="24"/>
        </w:rPr>
        <w:t>传播特征，蚊虫叮咬了患有登革热的病人或带病毒的人，病毒在进入蚊子体内，然后在蚊子体内进行繁殖以后，然后蚊子去叮咬了健康的人后，把体内的病毒扩散开来，这也是导致登革热爆发的原因。伊蚊尤其是喜欢在白天进行活动，所以在白天必须要注重防蚊，避免登革热病毒传播进一步恶化。</w:t>
      </w:r>
    </w:p>
    <w:p w14:paraId="381B6EEA">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3"/>
        <w:rPr>
          <w:rFonts w:hint="eastAsia" w:ascii="黑体" w:hAnsi="黑体" w:eastAsia="黑体" w:cs="黑体"/>
          <w:sz w:val="28"/>
          <w:szCs w:val="28"/>
        </w:rPr>
      </w:pPr>
      <w:bookmarkStart w:id="139" w:name="_Toc407152716"/>
      <w:bookmarkStart w:id="140" w:name="_Toc391519391"/>
      <w:bookmarkStart w:id="141" w:name="_Toc487114369"/>
      <w:bookmarkStart w:id="142" w:name="_Toc1668531674"/>
      <w:bookmarkStart w:id="143" w:name="_Toc1491247485"/>
      <w:bookmarkStart w:id="144" w:name="_Toc1862524549"/>
      <w:bookmarkStart w:id="145" w:name="_Toc1462325766"/>
      <w:r>
        <w:rPr>
          <w:rFonts w:hint="eastAsia" w:ascii="黑体" w:hAnsi="黑体" w:eastAsia="黑体" w:cs="黑体"/>
          <w:sz w:val="28"/>
          <w:szCs w:val="28"/>
        </w:rPr>
        <w:t>4.1.2 霍乱传播</w:t>
      </w:r>
      <w:bookmarkEnd w:id="139"/>
      <w:bookmarkEnd w:id="140"/>
      <w:bookmarkEnd w:id="141"/>
      <w:bookmarkEnd w:id="142"/>
      <w:bookmarkEnd w:id="143"/>
      <w:bookmarkEnd w:id="144"/>
      <w:bookmarkEnd w:id="145"/>
    </w:p>
    <w:p w14:paraId="0F7AE5CC">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cstheme="minorEastAsia"/>
          <w:sz w:val="24"/>
        </w:rPr>
      </w:pPr>
      <w:r>
        <w:rPr>
          <w:rFonts w:hint="eastAsia" w:asciiTheme="minorEastAsia" w:hAnsiTheme="minorEastAsia" w:cstheme="minorEastAsia"/>
          <w:sz w:val="24"/>
        </w:rPr>
        <w:t>地震破坏了供水系统，饮用水和污水混合在了疫情，直接导致水源受到污染。曼德勒地区居民不得不饮用含有霍乱弧菌的污水，而受灾区废墟积水、垃圾堆变成了死水区，成为伊蚊和按蚊繁殖的好地方。与此同时，医院遭到破坏、药品供应不足、电力系统受损，导致霍乱患者无法在第一时间接受救治，疟疾患者缺乏青蒿素药物的治疗，轻症迅速演变成重症并成为新传染源。气候与环境的双重催化缅甸地处热带，地震灾害后曼德勒气温高达40℃，高温加速了病原体繁殖（如霍乱弧菌在30℃水中存活更久），也提高了蚊虫的活动频率。地震灾害区域的安置所人口密集，卫生坏境极差，垃圾堆积如山与尸体处理滞后，进一步扩大了粪便传播与蚊虫传播的风险。</w:t>
      </w:r>
    </w:p>
    <w:p w14:paraId="78CE6DF7">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drawing>
          <wp:inline distT="0" distB="0" distL="114300" distR="114300">
            <wp:extent cx="5511165" cy="1836420"/>
            <wp:effectExtent l="0" t="0" r="635" b="1778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4"/>
                    <a:stretch>
                      <a:fillRect/>
                    </a:stretch>
                  </pic:blipFill>
                  <pic:spPr>
                    <a:xfrm>
                      <a:off x="0" y="0"/>
                      <a:ext cx="5511165" cy="1836420"/>
                    </a:xfrm>
                    <a:prstGeom prst="rect">
                      <a:avLst/>
                    </a:prstGeom>
                    <a:noFill/>
                    <a:ln>
                      <a:noFill/>
                    </a:ln>
                  </pic:spPr>
                </pic:pic>
              </a:graphicData>
            </a:graphic>
          </wp:inline>
        </w:drawing>
      </w:r>
    </w:p>
    <w:p w14:paraId="225D990A">
      <w:pPr>
        <w:pStyle w:val="4"/>
        <w:keepNext w:val="0"/>
        <w:keepLines w:val="0"/>
        <w:pageBreakBefore w:val="0"/>
        <w:widowControl w:val="0"/>
        <w:kinsoku/>
        <w:wordWrap/>
        <w:overflowPunct/>
        <w:topLinePunct w:val="0"/>
        <w:autoSpaceDE/>
        <w:autoSpaceDN/>
        <w:bidi w:val="0"/>
        <w:adjustRightInd/>
        <w:snapToGrid/>
        <w:spacing w:line="240" w:lineRule="auto"/>
        <w:ind w:firstLine="400" w:firstLineChars="200"/>
        <w:jc w:val="center"/>
        <w:textAlignment w:val="auto"/>
        <w:rPr>
          <w:rFonts w:hint="eastAsia" w:ascii="黑体" w:hAnsi="黑体" w:cs="黑体"/>
          <w:sz w:val="28"/>
          <w:szCs w:val="28"/>
        </w:rPr>
      </w:pPr>
      <w:r>
        <w:t xml:space="preserve">图 </w:t>
      </w:r>
      <w:r>
        <w:fldChar w:fldCharType="begin"/>
      </w:r>
      <w:r>
        <w:instrText xml:space="preserve"> SEQ 图 \* ARABIC </w:instrText>
      </w:r>
      <w:r>
        <w:fldChar w:fldCharType="separate"/>
      </w:r>
      <w:r>
        <w:t>3</w:t>
      </w:r>
      <w:r>
        <w:fldChar w:fldCharType="end"/>
      </w:r>
      <w:r>
        <w:rPr>
          <w:rFonts w:hint="eastAsia"/>
        </w:rPr>
        <w:t xml:space="preserve"> 霍乱传播途径导图</w:t>
      </w:r>
      <w:bookmarkStart w:id="146" w:name="_Toc723537419"/>
      <w:bookmarkStart w:id="147" w:name="_Toc1132798470"/>
      <w:bookmarkStart w:id="148" w:name="_Toc1506292894"/>
    </w:p>
    <w:p w14:paraId="7BC4D54B">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1"/>
        <w:rPr>
          <w:rFonts w:hint="eastAsia" w:ascii="黑体" w:hAnsi="黑体" w:eastAsia="黑体" w:cs="黑体"/>
          <w:sz w:val="28"/>
          <w:szCs w:val="28"/>
        </w:rPr>
      </w:pPr>
      <w:bookmarkStart w:id="149" w:name="_Toc1017982107"/>
      <w:r>
        <w:rPr>
          <w:rFonts w:hint="eastAsia" w:ascii="黑体" w:hAnsi="黑体" w:eastAsia="黑体" w:cs="黑体"/>
          <w:sz w:val="28"/>
          <w:szCs w:val="28"/>
        </w:rPr>
        <w:t>4.2 地震灾后传染病原因分析</w:t>
      </w:r>
      <w:bookmarkEnd w:id="146"/>
      <w:bookmarkEnd w:id="147"/>
      <w:bookmarkEnd w:id="148"/>
      <w:bookmarkEnd w:id="149"/>
    </w:p>
    <w:p w14:paraId="49379515">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3"/>
        <w:rPr>
          <w:rFonts w:hint="eastAsia" w:ascii="黑体" w:hAnsi="黑体" w:eastAsia="黑体" w:cs="黑体"/>
          <w:sz w:val="28"/>
          <w:szCs w:val="28"/>
        </w:rPr>
      </w:pPr>
      <w:bookmarkStart w:id="150" w:name="_Toc1727438622"/>
      <w:bookmarkStart w:id="151" w:name="_Toc1154934428"/>
      <w:bookmarkStart w:id="152" w:name="_Toc1814139471"/>
      <w:bookmarkStart w:id="153" w:name="_Toc1440991819"/>
      <w:bookmarkStart w:id="154" w:name="_Toc1518914041"/>
      <w:bookmarkStart w:id="155" w:name="_Toc1612673200"/>
      <w:bookmarkStart w:id="156" w:name="_Toc1501354635"/>
      <w:r>
        <w:rPr>
          <w:rFonts w:hint="eastAsia" w:ascii="黑体" w:hAnsi="黑体" w:eastAsia="黑体" w:cs="黑体"/>
          <w:sz w:val="28"/>
          <w:szCs w:val="28"/>
        </w:rPr>
        <w:t>4.2.1医疗资源和防疫能力的不足</w:t>
      </w:r>
      <w:bookmarkEnd w:id="150"/>
      <w:bookmarkEnd w:id="151"/>
      <w:bookmarkEnd w:id="152"/>
      <w:bookmarkEnd w:id="153"/>
      <w:bookmarkEnd w:id="154"/>
      <w:bookmarkEnd w:id="155"/>
      <w:bookmarkEnd w:id="156"/>
    </w:p>
    <w:p w14:paraId="745F23C3">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cstheme="minorEastAsia"/>
          <w:sz w:val="24"/>
        </w:rPr>
      </w:pPr>
      <w:r>
        <w:rPr>
          <w:rFonts w:hint="eastAsia" w:asciiTheme="minorEastAsia" w:hAnsiTheme="minorEastAsia" w:cstheme="minorEastAsia"/>
          <w:sz w:val="24"/>
        </w:rPr>
        <w:t>受到地震灾害的影响，医院遭到毁坏，导致储存的药品不足以治疗所有的病人，同时灾后大量伤病员集中，特别是面对重症患者治疗的压力过大。基础的医护人员，对于消杀的方法不够熟练，平时的防疫培训不过关。</w:t>
      </w:r>
    </w:p>
    <w:p w14:paraId="40927206">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3"/>
        <w:rPr>
          <w:rFonts w:hint="eastAsia" w:ascii="黑体" w:hAnsi="黑体" w:eastAsia="黑体" w:cs="黑体"/>
          <w:sz w:val="28"/>
          <w:szCs w:val="28"/>
        </w:rPr>
      </w:pPr>
      <w:bookmarkStart w:id="157" w:name="_Toc2025729810"/>
      <w:bookmarkStart w:id="158" w:name="_Toc334498195"/>
      <w:bookmarkStart w:id="159" w:name="_Toc269268991"/>
      <w:bookmarkStart w:id="160" w:name="_Toc807363613"/>
      <w:bookmarkStart w:id="161" w:name="_Toc1576414714"/>
      <w:bookmarkStart w:id="162" w:name="_Toc1250175198"/>
      <w:bookmarkStart w:id="163" w:name="_Toc1229496161"/>
    </w:p>
    <w:p w14:paraId="00EBE794">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3"/>
        <w:rPr>
          <w:rFonts w:hint="eastAsia" w:ascii="黑体" w:hAnsi="黑体" w:eastAsia="黑体" w:cs="黑体"/>
          <w:sz w:val="28"/>
          <w:szCs w:val="28"/>
        </w:rPr>
      </w:pPr>
      <w:r>
        <w:rPr>
          <w:rFonts w:hint="eastAsia" w:ascii="黑体" w:hAnsi="黑体" w:eastAsia="黑体" w:cs="黑体"/>
          <w:sz w:val="28"/>
          <w:szCs w:val="28"/>
        </w:rPr>
        <w:t>4.2.2社会脆弱性和协调阻碍</w:t>
      </w:r>
      <w:bookmarkEnd w:id="157"/>
      <w:bookmarkEnd w:id="158"/>
      <w:bookmarkEnd w:id="159"/>
      <w:bookmarkEnd w:id="160"/>
      <w:bookmarkEnd w:id="161"/>
      <w:bookmarkEnd w:id="162"/>
      <w:bookmarkEnd w:id="163"/>
    </w:p>
    <w:p w14:paraId="751FD66E">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cstheme="minorEastAsia"/>
          <w:sz w:val="24"/>
        </w:rPr>
      </w:pPr>
      <w:r>
        <w:rPr>
          <w:rFonts w:hint="eastAsia" w:asciiTheme="minorEastAsia" w:hAnsiTheme="minorEastAsia" w:cstheme="minorEastAsia"/>
          <w:sz w:val="24"/>
        </w:rPr>
        <w:t>缅甸过于依赖国际上的帮助，国家自己的应急能力较弱，灾害来临不能第一时间展开救援行动，各部门之间配合不足，特别是武装冲突地区救援工作无法展开，疫情监测不完全，存在很大的疫情隐患。</w:t>
      </w:r>
    </w:p>
    <w:p w14:paraId="6172269B">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Theme="minorEastAsia" w:hAnsiTheme="minorEastAsia" w:cstheme="minorEastAsia"/>
        </w:rPr>
      </w:pPr>
    </w:p>
    <w:p w14:paraId="7ED3DE1E">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Theme="minorEastAsia" w:hAnsiTheme="minorEastAsia" w:cstheme="minorEastAsia"/>
        </w:rPr>
      </w:pPr>
    </w:p>
    <w:p w14:paraId="5B90FE0B">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Theme="minorEastAsia" w:hAnsiTheme="minorEastAsia" w:cstheme="minorEastAsia"/>
        </w:rPr>
      </w:pPr>
    </w:p>
    <w:p w14:paraId="52A00C32">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Theme="minorEastAsia" w:hAnsiTheme="minorEastAsia" w:cstheme="minorEastAsia"/>
        </w:rPr>
      </w:pPr>
    </w:p>
    <w:p w14:paraId="1F386F81">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Theme="minorEastAsia" w:hAnsiTheme="minorEastAsia" w:cstheme="minorEastAsia"/>
        </w:rPr>
      </w:pPr>
    </w:p>
    <w:p w14:paraId="2E400FAC">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Theme="minorEastAsia" w:hAnsiTheme="minorEastAsia" w:cstheme="minorEastAsia"/>
        </w:rPr>
      </w:pPr>
    </w:p>
    <w:p w14:paraId="74A5B1F5">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Theme="minorEastAsia" w:hAnsiTheme="minorEastAsia" w:cstheme="minorEastAsia"/>
        </w:rPr>
      </w:pPr>
    </w:p>
    <w:p w14:paraId="74A791FD">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Theme="minorEastAsia" w:hAnsiTheme="minorEastAsia" w:cstheme="minorEastAsia"/>
        </w:rPr>
      </w:pPr>
    </w:p>
    <w:p w14:paraId="717C37CA">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Theme="minorEastAsia" w:hAnsiTheme="minorEastAsia" w:cstheme="minorEastAsia"/>
        </w:rPr>
      </w:pPr>
    </w:p>
    <w:p w14:paraId="19C1DC25">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Theme="minorEastAsia" w:hAnsiTheme="minorEastAsia" w:cstheme="minorEastAsia"/>
        </w:rPr>
      </w:pPr>
    </w:p>
    <w:p w14:paraId="282CC748">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Theme="minorEastAsia" w:hAnsiTheme="minorEastAsia" w:cstheme="minorEastAsia"/>
        </w:rPr>
      </w:pPr>
    </w:p>
    <w:p w14:paraId="6AC6F51D">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Theme="minorEastAsia" w:hAnsiTheme="minorEastAsia" w:cstheme="minorEastAsia"/>
        </w:rPr>
      </w:pPr>
    </w:p>
    <w:p w14:paraId="6815AD36">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Theme="minorEastAsia" w:hAnsiTheme="minorEastAsia" w:cstheme="minorEastAsia"/>
        </w:rPr>
      </w:pPr>
    </w:p>
    <w:p w14:paraId="19DCF395">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Theme="minorEastAsia" w:hAnsiTheme="minorEastAsia" w:cstheme="minorEastAsia"/>
        </w:rPr>
      </w:pPr>
    </w:p>
    <w:p w14:paraId="0E2EF899">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Theme="minorEastAsia" w:hAnsiTheme="minorEastAsia" w:cstheme="minorEastAsia"/>
        </w:rPr>
      </w:pPr>
    </w:p>
    <w:p w14:paraId="569FDD70">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Theme="minorEastAsia" w:hAnsiTheme="minorEastAsia" w:cstheme="minorEastAsia"/>
        </w:rPr>
      </w:pPr>
    </w:p>
    <w:p w14:paraId="20D27507">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Theme="minorEastAsia" w:hAnsiTheme="minorEastAsia" w:cstheme="minorEastAsia"/>
        </w:rPr>
      </w:pPr>
    </w:p>
    <w:p w14:paraId="073C231E">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Theme="minorEastAsia" w:hAnsiTheme="minorEastAsia" w:cstheme="minorEastAsia"/>
        </w:rPr>
      </w:pPr>
    </w:p>
    <w:p w14:paraId="53A341F3">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Theme="minorEastAsia" w:hAnsiTheme="minorEastAsia" w:cstheme="minorEastAsia"/>
        </w:rPr>
      </w:pPr>
    </w:p>
    <w:p w14:paraId="00D9784A">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Theme="minorEastAsia" w:hAnsiTheme="minorEastAsia" w:cstheme="minorEastAsia"/>
        </w:rPr>
      </w:pPr>
    </w:p>
    <w:p w14:paraId="3BCB07D7">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Theme="minorEastAsia" w:hAnsiTheme="minorEastAsia" w:cstheme="minorEastAsia"/>
        </w:rPr>
      </w:pPr>
    </w:p>
    <w:p w14:paraId="65611B71">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Theme="minorEastAsia" w:hAnsiTheme="minorEastAsia" w:cstheme="minorEastAsia"/>
        </w:rPr>
      </w:pPr>
    </w:p>
    <w:p w14:paraId="6300B6AC">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Theme="minorEastAsia" w:hAnsiTheme="minorEastAsia" w:cstheme="minorEastAsia"/>
        </w:rPr>
      </w:pPr>
    </w:p>
    <w:p w14:paraId="640B844E">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Theme="minorEastAsia" w:hAnsiTheme="minorEastAsia" w:cstheme="minorEastAsia"/>
        </w:rPr>
      </w:pPr>
    </w:p>
    <w:p w14:paraId="3C92867B">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Theme="minorEastAsia" w:hAnsiTheme="minorEastAsia" w:cstheme="minorEastAsia"/>
        </w:rPr>
      </w:pPr>
    </w:p>
    <w:p w14:paraId="7D73C8AB">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Theme="minorEastAsia" w:hAnsiTheme="minorEastAsia" w:cstheme="minorEastAsia"/>
        </w:rPr>
      </w:pPr>
    </w:p>
    <w:p w14:paraId="31F1B0AC">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Theme="minorEastAsia" w:hAnsiTheme="minorEastAsia" w:cstheme="minorEastAsia"/>
        </w:rPr>
      </w:pPr>
    </w:p>
    <w:p w14:paraId="61C8C30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cstheme="minorEastAsia"/>
        </w:rPr>
      </w:pPr>
    </w:p>
    <w:p w14:paraId="52B59FA0">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Theme="minorEastAsia" w:hAnsiTheme="minorEastAsia" w:cstheme="minorEastAsia"/>
        </w:rPr>
      </w:pPr>
    </w:p>
    <w:p w14:paraId="2C4A1FE3">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Theme="minorEastAsia" w:hAnsiTheme="minorEastAsia" w:cstheme="minorEastAsia"/>
        </w:rPr>
      </w:pPr>
    </w:p>
    <w:p w14:paraId="229B07D8">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Theme="minorEastAsia" w:hAnsiTheme="minorEastAsia" w:cstheme="minorEastAsia"/>
        </w:rPr>
      </w:pPr>
    </w:p>
    <w:p w14:paraId="69513167">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Theme="minorEastAsia" w:hAnsiTheme="minorEastAsia" w:cstheme="minorEastAsia"/>
        </w:rPr>
      </w:pPr>
    </w:p>
    <w:p w14:paraId="2FC69403">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Theme="minorEastAsia" w:hAnsiTheme="minorEastAsia" w:cstheme="minorEastAsia"/>
        </w:rPr>
      </w:pPr>
    </w:p>
    <w:p w14:paraId="7CC2BA7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cstheme="minorEastAsia"/>
        </w:rPr>
      </w:pPr>
    </w:p>
    <w:p w14:paraId="1A71C16B">
      <w:pPr>
        <w:rPr>
          <w:rFonts w:hint="eastAsia" w:ascii="黑体" w:hAnsi="黑体" w:eastAsia="黑体" w:cs="黑体"/>
          <w:b/>
          <w:bCs/>
          <w:sz w:val="30"/>
          <w:szCs w:val="30"/>
        </w:rPr>
      </w:pPr>
      <w:bookmarkStart w:id="164" w:name="_Toc1296345159"/>
      <w:bookmarkStart w:id="165" w:name="_Toc223056700"/>
      <w:bookmarkStart w:id="166" w:name="_Toc1946459166"/>
      <w:bookmarkStart w:id="167" w:name="_Toc1054326493"/>
      <w:r>
        <w:rPr>
          <w:rFonts w:hint="eastAsia" w:ascii="黑体" w:hAnsi="黑体" w:eastAsia="黑体" w:cs="黑体"/>
          <w:b/>
          <w:bCs/>
          <w:sz w:val="30"/>
          <w:szCs w:val="30"/>
        </w:rPr>
        <w:br w:type="page"/>
      </w:r>
    </w:p>
    <w:p w14:paraId="733FFC38">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黑体" w:hAnsi="黑体" w:eastAsia="黑体" w:cs="黑体"/>
          <w:b/>
          <w:bCs/>
          <w:sz w:val="30"/>
          <w:szCs w:val="30"/>
        </w:rPr>
      </w:pPr>
      <w:r>
        <w:rPr>
          <w:rFonts w:hint="eastAsia" w:ascii="黑体" w:hAnsi="黑体" w:eastAsia="黑体" w:cs="黑体"/>
          <w:b/>
          <w:bCs/>
          <w:sz w:val="30"/>
          <w:szCs w:val="30"/>
        </w:rPr>
        <w:t>第五章 地震灾后传染病应急措施分析及改进建议</w:t>
      </w:r>
      <w:bookmarkEnd w:id="164"/>
      <w:bookmarkEnd w:id="165"/>
      <w:bookmarkEnd w:id="166"/>
      <w:bookmarkEnd w:id="167"/>
    </w:p>
    <w:p w14:paraId="78BBF078">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1"/>
        <w:rPr>
          <w:rFonts w:hint="eastAsia" w:ascii="黑体" w:hAnsi="黑体" w:eastAsia="黑体" w:cs="黑体"/>
          <w:sz w:val="28"/>
          <w:szCs w:val="28"/>
        </w:rPr>
      </w:pPr>
      <w:bookmarkStart w:id="168" w:name="_Toc1177796454"/>
      <w:bookmarkStart w:id="169" w:name="_Toc1520808211"/>
      <w:bookmarkStart w:id="170" w:name="_Toc1451488498"/>
      <w:bookmarkStart w:id="171" w:name="_Toc1554992885"/>
      <w:r>
        <w:rPr>
          <w:rFonts w:hint="eastAsia" w:ascii="黑体" w:hAnsi="黑体" w:eastAsia="黑体" w:cs="黑体"/>
          <w:sz w:val="28"/>
          <w:szCs w:val="28"/>
        </w:rPr>
        <w:t>5.1缅甸曼德勒3.28地震的各国应急支援情况</w:t>
      </w:r>
      <w:bookmarkEnd w:id="168"/>
      <w:bookmarkEnd w:id="169"/>
      <w:bookmarkEnd w:id="170"/>
      <w:bookmarkEnd w:id="171"/>
    </w:p>
    <w:p w14:paraId="5D051CCF">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3"/>
        <w:rPr>
          <w:rFonts w:hint="eastAsia" w:ascii="黑体" w:hAnsi="黑体" w:eastAsia="黑体" w:cs="黑体"/>
          <w:sz w:val="28"/>
          <w:szCs w:val="28"/>
        </w:rPr>
      </w:pPr>
      <w:bookmarkStart w:id="172" w:name="_Toc1900439613"/>
      <w:bookmarkStart w:id="173" w:name="_Toc1868227979"/>
      <w:bookmarkStart w:id="174" w:name="_Toc1995895175"/>
      <w:bookmarkStart w:id="175" w:name="_Toc873235683"/>
      <w:bookmarkStart w:id="176" w:name="_Toc612096103"/>
      <w:bookmarkStart w:id="177" w:name="_Toc1643111555"/>
      <w:bookmarkStart w:id="178" w:name="_Toc1506860289"/>
      <w:r>
        <w:rPr>
          <w:rFonts w:hint="eastAsia" w:ascii="黑体" w:hAnsi="黑体" w:eastAsia="黑体" w:cs="黑体"/>
          <w:sz w:val="28"/>
          <w:szCs w:val="28"/>
        </w:rPr>
        <w:t>5.1.1 救援队伍的组成和到达时间</w:t>
      </w:r>
      <w:bookmarkEnd w:id="172"/>
      <w:bookmarkEnd w:id="173"/>
      <w:bookmarkEnd w:id="174"/>
      <w:bookmarkEnd w:id="175"/>
      <w:bookmarkEnd w:id="176"/>
      <w:bookmarkEnd w:id="177"/>
      <w:bookmarkEnd w:id="178"/>
    </w:p>
    <w:p w14:paraId="282F1CB9">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cstheme="minorEastAsia"/>
          <w:sz w:val="24"/>
        </w:rPr>
      </w:pPr>
      <w:r>
        <w:rPr>
          <w:rFonts w:hint="eastAsia" w:asciiTheme="minorEastAsia" w:hAnsiTheme="minorEastAsia" w:cstheme="minorEastAsia"/>
          <w:sz w:val="24"/>
        </w:rPr>
        <w:t>地震发生后，多个国家收到信息后迅速响应，派遣了各自专业的救援队前往缅甸地震受灾地区进行救援。其中的救援队伍包括中国、美国、日本、泰国等国家。中国救援队在地震发生后第二天上午就抵达了受灾地区，中国救援队是最早抵达受灾区域的救援队伍之一。中国红十字会还向缅甸受灾地区进行了应急物资的援助，其中包含了300顶帐篷，2000床毛巾被，以及600张折叠床，还有足以满足2000个受灾家庭的所使用的家庭应急包。还派遣了16名云南的蓝天救援队的队员进行援救，每位队员都具备十分丰富的救援经验，在缅甸政府的救助请求下中国政府出于人道主义对缅甸政府进行了一亿元人民币的援助。还投入了大量的急救物资和生活用品及食物。</w:t>
      </w:r>
    </w:p>
    <w:p w14:paraId="326DB1C9">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3"/>
        <w:rPr>
          <w:rFonts w:hint="eastAsia" w:ascii="黑体" w:hAnsi="黑体" w:eastAsia="黑体" w:cs="黑体"/>
          <w:sz w:val="28"/>
          <w:szCs w:val="28"/>
        </w:rPr>
      </w:pPr>
      <w:bookmarkStart w:id="179" w:name="_Toc526228152"/>
      <w:bookmarkStart w:id="180" w:name="_Toc568880583"/>
      <w:bookmarkStart w:id="181" w:name="_Toc1283688112"/>
      <w:bookmarkStart w:id="182" w:name="_Toc1164293860"/>
      <w:bookmarkStart w:id="183" w:name="_Toc949240266"/>
      <w:bookmarkStart w:id="184" w:name="_Toc1315640085"/>
      <w:bookmarkStart w:id="185" w:name="_Toc1052533991"/>
      <w:r>
        <w:rPr>
          <w:rFonts w:hint="eastAsia" w:ascii="黑体" w:hAnsi="黑体" w:eastAsia="黑体" w:cs="黑体"/>
          <w:sz w:val="28"/>
          <w:szCs w:val="28"/>
        </w:rPr>
        <w:t>5.1.2 救援工作的开展</w:t>
      </w:r>
      <w:bookmarkEnd w:id="179"/>
      <w:bookmarkEnd w:id="180"/>
      <w:bookmarkEnd w:id="181"/>
      <w:bookmarkEnd w:id="182"/>
      <w:bookmarkEnd w:id="183"/>
      <w:bookmarkEnd w:id="184"/>
      <w:bookmarkEnd w:id="185"/>
    </w:p>
    <w:p w14:paraId="354A37EC">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cstheme="minorEastAsia"/>
          <w:sz w:val="24"/>
        </w:rPr>
      </w:pPr>
      <w:r>
        <w:rPr>
          <w:rFonts w:hint="eastAsia" w:asciiTheme="minorEastAsia" w:hAnsiTheme="minorEastAsia" w:cstheme="minorEastAsia"/>
          <w:sz w:val="24"/>
        </w:rPr>
        <w:t>各国派遣的救援队的优势各不相同，面对不同的情况将各队伍分开，按照他们的熟悉的领域和自身所带来的装备情况的不同进行分类，开展不同类型的救援工作。中国救援队拥有比较先进的救援装备如生命探测仪，所以主要负责的是废墟的搜素和救援。在装备的加持下成功的救出了多名被困人员。而美国救援队主要的救援工作是在于医疗救助上，设立了专门的医疗点为受灾地区的伤员进行医疗救治使得他们能够在第一时间得到治疗大大的减少了伤口感染的风险。日本救援队这次所带来的装备主要是比较先进的工程设备，他们主要负责的工作是灾后的道路和桥梁的抢修工作，为后续的救援和物质的运输奠定了道路通畅的基础。</w:t>
      </w:r>
    </w:p>
    <w:p w14:paraId="7B5032A5">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3"/>
        <w:rPr>
          <w:rFonts w:hint="eastAsia" w:ascii="黑体" w:hAnsi="黑体" w:eastAsia="黑体" w:cs="黑体"/>
          <w:sz w:val="28"/>
          <w:szCs w:val="28"/>
        </w:rPr>
      </w:pPr>
      <w:bookmarkStart w:id="186" w:name="_Toc225137099"/>
      <w:bookmarkStart w:id="187" w:name="_Toc415913556"/>
      <w:bookmarkStart w:id="188" w:name="_Toc1325380622"/>
      <w:bookmarkStart w:id="189" w:name="_Toc1115986398"/>
      <w:bookmarkStart w:id="190" w:name="_Toc578762037"/>
      <w:bookmarkStart w:id="191" w:name="_Toc1471279083"/>
      <w:bookmarkStart w:id="192" w:name="_Toc978892318"/>
      <w:r>
        <w:rPr>
          <w:rFonts w:hint="eastAsia" w:ascii="黑体" w:hAnsi="黑体" w:eastAsia="黑体" w:cs="黑体"/>
          <w:sz w:val="28"/>
          <w:szCs w:val="28"/>
        </w:rPr>
        <w:t>5.1.3 国际合作与协调</w:t>
      </w:r>
      <w:bookmarkEnd w:id="186"/>
      <w:bookmarkEnd w:id="187"/>
      <w:bookmarkEnd w:id="188"/>
      <w:bookmarkEnd w:id="189"/>
      <w:bookmarkEnd w:id="190"/>
      <w:bookmarkEnd w:id="191"/>
      <w:bookmarkEnd w:id="192"/>
    </w:p>
    <w:p w14:paraId="4EB3E2F2">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cstheme="minorEastAsia"/>
          <w:sz w:val="24"/>
        </w:rPr>
      </w:pPr>
      <w:r>
        <w:rPr>
          <w:rFonts w:hint="eastAsia" w:asciiTheme="minorEastAsia" w:hAnsiTheme="minorEastAsia" w:cstheme="minorEastAsia"/>
          <w:sz w:val="24"/>
        </w:rPr>
        <w:t>在救援的过程中为了方便救援队伍的紧密联系，通力合作建立了一个联合指挥中心，其主要作用在于能够更好的协调和统一救援的行动。使救援行动不会出现杂乱无章的情况，能很好的避免救援资源的浪费和重复搜救所带来的人力资源的浪费。同时临时指挥中心的各国救援队还与缅甸当地政府组织的救援队紧密联系配合，共同展开营救，他们队地理位置更为熟悉能够加快救援计划的完成时间。</w:t>
      </w:r>
    </w:p>
    <w:p w14:paraId="66163341">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1"/>
        <w:rPr>
          <w:rFonts w:hint="eastAsia" w:ascii="黑体" w:hAnsi="黑体" w:eastAsia="黑体" w:cs="黑体"/>
          <w:sz w:val="28"/>
          <w:szCs w:val="28"/>
        </w:rPr>
      </w:pPr>
      <w:bookmarkStart w:id="193" w:name="_Toc199864707"/>
      <w:bookmarkStart w:id="194" w:name="_Toc13036879"/>
      <w:bookmarkStart w:id="195" w:name="_Toc2036917852"/>
      <w:bookmarkStart w:id="196" w:name="_Toc1300118596"/>
      <w:r>
        <w:rPr>
          <w:rFonts w:hint="eastAsia" w:ascii="黑体" w:hAnsi="黑体" w:eastAsia="黑体" w:cs="黑体"/>
          <w:sz w:val="28"/>
          <w:szCs w:val="28"/>
        </w:rPr>
        <w:t>5.2缅甸对于灾后传染病的应急措施</w:t>
      </w:r>
      <w:bookmarkEnd w:id="193"/>
      <w:bookmarkEnd w:id="194"/>
      <w:bookmarkEnd w:id="195"/>
      <w:bookmarkEnd w:id="196"/>
    </w:p>
    <w:p w14:paraId="7CB9408B">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3"/>
        <w:rPr>
          <w:rFonts w:hint="eastAsia" w:ascii="黑体" w:hAnsi="黑体" w:eastAsia="黑体" w:cs="黑体"/>
          <w:sz w:val="28"/>
          <w:szCs w:val="28"/>
        </w:rPr>
      </w:pPr>
      <w:bookmarkStart w:id="197" w:name="_Toc839191948"/>
      <w:bookmarkStart w:id="198" w:name="_Toc447134747"/>
      <w:bookmarkStart w:id="199" w:name="_Toc1000070033"/>
      <w:bookmarkStart w:id="200" w:name="_Toc461706641"/>
      <w:bookmarkStart w:id="201" w:name="_Toc67493359"/>
      <w:bookmarkStart w:id="202" w:name="_Toc730266672"/>
      <w:r>
        <w:rPr>
          <w:rFonts w:hint="eastAsia" w:ascii="黑体" w:hAnsi="黑体" w:eastAsia="黑体" w:cs="黑体"/>
          <w:sz w:val="28"/>
          <w:szCs w:val="28"/>
        </w:rPr>
        <w:t>5.2.1疫情监测和响应</w:t>
      </w:r>
      <w:bookmarkEnd w:id="197"/>
      <w:bookmarkEnd w:id="198"/>
      <w:bookmarkEnd w:id="199"/>
      <w:bookmarkEnd w:id="200"/>
      <w:bookmarkEnd w:id="201"/>
      <w:bookmarkEnd w:id="202"/>
    </w:p>
    <w:p w14:paraId="69EDFEF8">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cstheme="minorEastAsia"/>
          <w:sz w:val="24"/>
        </w:rPr>
      </w:pPr>
      <w:r>
        <w:rPr>
          <w:rFonts w:hint="eastAsia" w:asciiTheme="minorEastAsia" w:hAnsiTheme="minorEastAsia" w:cstheme="minorEastAsia"/>
          <w:sz w:val="24"/>
        </w:rPr>
        <w:t>缅甸的救援组织和国际的救援组织。对传染病的情况进行了检测，重点追查霍乱，登革热，疟疾。并且设立了多个临时的医疗点对病原体的检查。发现病情立刻上报，并对患者就行隔离治疗，以免疫情扩散。</w:t>
      </w:r>
    </w:p>
    <w:p w14:paraId="6A5B4E47">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3"/>
        <w:rPr>
          <w:rFonts w:hint="eastAsia" w:ascii="黑体" w:hAnsi="黑体" w:eastAsia="黑体" w:cs="黑体"/>
          <w:sz w:val="28"/>
          <w:szCs w:val="28"/>
        </w:rPr>
      </w:pPr>
      <w:bookmarkStart w:id="203" w:name="_Toc722913699"/>
      <w:bookmarkStart w:id="204" w:name="_Toc1179028724"/>
      <w:bookmarkStart w:id="205" w:name="_Toc489519097"/>
      <w:bookmarkStart w:id="206" w:name="_Toc948411976"/>
      <w:bookmarkStart w:id="207" w:name="_Toc1970023209"/>
      <w:bookmarkStart w:id="208" w:name="_Toc1045098676"/>
      <w:bookmarkStart w:id="209" w:name="_Toc1773960187"/>
      <w:r>
        <w:rPr>
          <w:rFonts w:hint="eastAsia" w:ascii="黑体" w:hAnsi="黑体" w:eastAsia="黑体" w:cs="黑体"/>
          <w:sz w:val="28"/>
          <w:szCs w:val="28"/>
        </w:rPr>
        <w:t>5.2.2环境消杀和水源治理</w:t>
      </w:r>
      <w:bookmarkEnd w:id="203"/>
      <w:bookmarkEnd w:id="204"/>
      <w:bookmarkEnd w:id="205"/>
      <w:bookmarkEnd w:id="206"/>
      <w:bookmarkEnd w:id="207"/>
      <w:bookmarkEnd w:id="208"/>
      <w:bookmarkEnd w:id="209"/>
    </w:p>
    <w:p w14:paraId="4BD6DFFF">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cstheme="minorEastAsia"/>
          <w:sz w:val="24"/>
        </w:rPr>
      </w:pPr>
      <w:r>
        <w:rPr>
          <w:rFonts w:hint="eastAsia" w:asciiTheme="minorEastAsia" w:hAnsiTheme="minorEastAsia" w:cstheme="minorEastAsia"/>
          <w:sz w:val="24"/>
        </w:rPr>
        <w:t>中国救援组织和国际救援组织带来了净水设备，并且对积水点进行大规模的消杀，将蚊虫的密度控制在一定的程度。避免应饮用被污染的水源和蚊虫叮咬，导致传染病的爆发。</w:t>
      </w:r>
    </w:p>
    <w:p w14:paraId="0D5C0A30">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3"/>
        <w:rPr>
          <w:rFonts w:hint="eastAsia" w:ascii="黑体" w:hAnsi="黑体" w:eastAsia="黑体" w:cs="黑体"/>
          <w:sz w:val="28"/>
          <w:szCs w:val="28"/>
        </w:rPr>
      </w:pPr>
      <w:bookmarkStart w:id="210" w:name="_Toc337611622"/>
      <w:bookmarkStart w:id="211" w:name="_Toc1695548014"/>
      <w:bookmarkStart w:id="212" w:name="_Toc1336452598"/>
      <w:bookmarkStart w:id="213" w:name="_Toc704698719"/>
      <w:bookmarkStart w:id="214" w:name="_Toc277204217"/>
      <w:bookmarkStart w:id="215" w:name="_Toc1104153399"/>
      <w:bookmarkStart w:id="216" w:name="_Toc1433391608"/>
      <w:r>
        <w:rPr>
          <w:rFonts w:hint="eastAsia" w:ascii="黑体" w:hAnsi="黑体" w:eastAsia="黑体" w:cs="黑体"/>
          <w:sz w:val="28"/>
          <w:szCs w:val="28"/>
        </w:rPr>
        <w:t>5.2.3医疗资源的补充</w:t>
      </w:r>
      <w:bookmarkEnd w:id="210"/>
      <w:bookmarkEnd w:id="211"/>
      <w:bookmarkEnd w:id="212"/>
      <w:bookmarkEnd w:id="213"/>
      <w:bookmarkEnd w:id="214"/>
      <w:bookmarkEnd w:id="215"/>
      <w:bookmarkEnd w:id="216"/>
    </w:p>
    <w:p w14:paraId="1EFF9108">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cstheme="minorEastAsia"/>
          <w:sz w:val="24"/>
        </w:rPr>
      </w:pPr>
      <w:r>
        <w:rPr>
          <w:rFonts w:hint="eastAsia" w:asciiTheme="minorEastAsia" w:hAnsiTheme="minorEastAsia" w:cstheme="minorEastAsia"/>
          <w:sz w:val="24"/>
        </w:rPr>
        <w:t>空投了大量的医疗支援，如抗生素和霍乱疫苗。还将病情严重的病人，用直升机运送到还有受灾害影响的医院内救治。</w:t>
      </w:r>
    </w:p>
    <w:p w14:paraId="4D6B9F38">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3"/>
        <w:rPr>
          <w:rFonts w:hint="eastAsia" w:ascii="黑体" w:hAnsi="黑体" w:eastAsia="黑体" w:cs="黑体"/>
          <w:sz w:val="28"/>
          <w:szCs w:val="28"/>
        </w:rPr>
      </w:pPr>
      <w:bookmarkStart w:id="217" w:name="_Toc1227350613"/>
      <w:bookmarkStart w:id="218" w:name="_Toc2114959255"/>
      <w:bookmarkStart w:id="219" w:name="_Toc1079244776"/>
      <w:bookmarkStart w:id="220" w:name="_Toc499057028"/>
      <w:bookmarkStart w:id="221" w:name="_Toc541203610"/>
      <w:bookmarkStart w:id="222" w:name="_Toc586735580"/>
      <w:r>
        <w:rPr>
          <w:rFonts w:hint="eastAsia" w:ascii="黑体" w:hAnsi="黑体" w:eastAsia="黑体" w:cs="黑体"/>
          <w:sz w:val="28"/>
          <w:szCs w:val="28"/>
        </w:rPr>
        <w:t>5.2.4公共卫生宣讲</w:t>
      </w:r>
      <w:bookmarkEnd w:id="217"/>
      <w:bookmarkEnd w:id="218"/>
      <w:bookmarkEnd w:id="219"/>
      <w:bookmarkEnd w:id="220"/>
      <w:bookmarkEnd w:id="221"/>
      <w:bookmarkEnd w:id="222"/>
    </w:p>
    <w:p w14:paraId="34C813D7">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cstheme="minorEastAsia"/>
          <w:sz w:val="24"/>
        </w:rPr>
      </w:pPr>
      <w:r>
        <w:rPr>
          <w:rFonts w:hint="eastAsia" w:asciiTheme="minorEastAsia" w:hAnsiTheme="minorEastAsia" w:cstheme="minorEastAsia"/>
          <w:sz w:val="24"/>
        </w:rPr>
        <w:t>通过应急广播和宣传手册普及了相关的防疫知识，科学的佩戴好口罩，合理的对食物就行分配，多吃蔬菜、水果。安排好作息时间，适当的运动提高身体素质，增强免疫力，遇到发热等情况，即使上报并接受治疗，组织并指导受灾群众搭建卫生帐篷。</w:t>
      </w:r>
    </w:p>
    <w:p w14:paraId="7AADF98A">
      <w:pPr>
        <w:keepNext w:val="0"/>
        <w:keepLines w:val="0"/>
        <w:pageBreakBefore w:val="0"/>
        <w:widowControl w:val="0"/>
        <w:kinsoku/>
        <w:wordWrap/>
        <w:overflowPunct/>
        <w:topLinePunct w:val="0"/>
        <w:autoSpaceDE/>
        <w:autoSpaceDN/>
        <w:bidi w:val="0"/>
        <w:adjustRightInd/>
        <w:snapToGrid/>
        <w:spacing w:line="240" w:lineRule="auto"/>
        <w:textAlignment w:val="auto"/>
      </w:pPr>
    </w:p>
    <w:p w14:paraId="3F379FBD">
      <w:pPr>
        <w:keepNext w:val="0"/>
        <w:keepLines w:val="0"/>
        <w:pageBreakBefore w:val="0"/>
        <w:widowControl w:val="0"/>
        <w:kinsoku/>
        <w:wordWrap/>
        <w:overflowPunct/>
        <w:topLinePunct w:val="0"/>
        <w:autoSpaceDE/>
        <w:autoSpaceDN/>
        <w:bidi w:val="0"/>
        <w:adjustRightInd/>
        <w:snapToGrid/>
        <w:spacing w:line="240" w:lineRule="auto"/>
        <w:textAlignment w:val="auto"/>
      </w:pPr>
    </w:p>
    <w:p w14:paraId="20099231">
      <w:pPr>
        <w:keepNext w:val="0"/>
        <w:keepLines w:val="0"/>
        <w:pageBreakBefore w:val="0"/>
        <w:widowControl w:val="0"/>
        <w:kinsoku/>
        <w:wordWrap/>
        <w:overflowPunct/>
        <w:topLinePunct w:val="0"/>
        <w:autoSpaceDE/>
        <w:autoSpaceDN/>
        <w:bidi w:val="0"/>
        <w:adjustRightInd/>
        <w:snapToGrid/>
        <w:spacing w:line="240" w:lineRule="auto"/>
        <w:textAlignment w:val="auto"/>
      </w:pPr>
    </w:p>
    <w:p w14:paraId="6CF7BBF6">
      <w:pPr>
        <w:keepNext w:val="0"/>
        <w:keepLines w:val="0"/>
        <w:pageBreakBefore w:val="0"/>
        <w:widowControl w:val="0"/>
        <w:kinsoku/>
        <w:wordWrap/>
        <w:overflowPunct/>
        <w:topLinePunct w:val="0"/>
        <w:autoSpaceDE/>
        <w:autoSpaceDN/>
        <w:bidi w:val="0"/>
        <w:adjustRightInd/>
        <w:snapToGrid/>
        <w:spacing w:line="240" w:lineRule="auto"/>
        <w:textAlignment w:val="auto"/>
      </w:pPr>
    </w:p>
    <w:p w14:paraId="47C2D2B6">
      <w:pPr>
        <w:keepNext w:val="0"/>
        <w:keepLines w:val="0"/>
        <w:pageBreakBefore w:val="0"/>
        <w:widowControl w:val="0"/>
        <w:kinsoku/>
        <w:wordWrap/>
        <w:overflowPunct/>
        <w:topLinePunct w:val="0"/>
        <w:autoSpaceDE/>
        <w:autoSpaceDN/>
        <w:bidi w:val="0"/>
        <w:adjustRightInd/>
        <w:snapToGrid/>
        <w:spacing w:line="240" w:lineRule="auto"/>
        <w:textAlignment w:val="auto"/>
      </w:pPr>
    </w:p>
    <w:p w14:paraId="73AB282F">
      <w:pPr>
        <w:keepNext w:val="0"/>
        <w:keepLines w:val="0"/>
        <w:pageBreakBefore w:val="0"/>
        <w:widowControl w:val="0"/>
        <w:kinsoku/>
        <w:wordWrap/>
        <w:overflowPunct/>
        <w:topLinePunct w:val="0"/>
        <w:autoSpaceDE/>
        <w:autoSpaceDN/>
        <w:bidi w:val="0"/>
        <w:adjustRightInd/>
        <w:snapToGrid/>
        <w:spacing w:line="240" w:lineRule="auto"/>
        <w:textAlignment w:val="auto"/>
      </w:pPr>
    </w:p>
    <w:p w14:paraId="7B0F026F">
      <w:pPr>
        <w:keepNext w:val="0"/>
        <w:keepLines w:val="0"/>
        <w:pageBreakBefore w:val="0"/>
        <w:widowControl w:val="0"/>
        <w:kinsoku/>
        <w:wordWrap/>
        <w:overflowPunct/>
        <w:topLinePunct w:val="0"/>
        <w:autoSpaceDE/>
        <w:autoSpaceDN/>
        <w:bidi w:val="0"/>
        <w:adjustRightInd/>
        <w:snapToGrid/>
        <w:spacing w:line="240" w:lineRule="auto"/>
        <w:textAlignment w:val="auto"/>
      </w:pPr>
    </w:p>
    <w:p w14:paraId="7DDA052C">
      <w:pPr>
        <w:keepNext w:val="0"/>
        <w:keepLines w:val="0"/>
        <w:pageBreakBefore w:val="0"/>
        <w:widowControl w:val="0"/>
        <w:kinsoku/>
        <w:wordWrap/>
        <w:overflowPunct/>
        <w:topLinePunct w:val="0"/>
        <w:autoSpaceDE/>
        <w:autoSpaceDN/>
        <w:bidi w:val="0"/>
        <w:adjustRightInd/>
        <w:snapToGrid/>
        <w:spacing w:line="240" w:lineRule="auto"/>
        <w:textAlignment w:val="auto"/>
      </w:pPr>
    </w:p>
    <w:p w14:paraId="6E0BFF45">
      <w:pPr>
        <w:keepNext w:val="0"/>
        <w:keepLines w:val="0"/>
        <w:pageBreakBefore w:val="0"/>
        <w:widowControl w:val="0"/>
        <w:kinsoku/>
        <w:wordWrap/>
        <w:overflowPunct/>
        <w:topLinePunct w:val="0"/>
        <w:autoSpaceDE/>
        <w:autoSpaceDN/>
        <w:bidi w:val="0"/>
        <w:adjustRightInd/>
        <w:snapToGrid/>
        <w:spacing w:line="240" w:lineRule="auto"/>
        <w:textAlignment w:val="auto"/>
      </w:pPr>
    </w:p>
    <w:p w14:paraId="15EB20EF">
      <w:pPr>
        <w:keepNext w:val="0"/>
        <w:keepLines w:val="0"/>
        <w:pageBreakBefore w:val="0"/>
        <w:widowControl w:val="0"/>
        <w:kinsoku/>
        <w:wordWrap/>
        <w:overflowPunct/>
        <w:topLinePunct w:val="0"/>
        <w:autoSpaceDE/>
        <w:autoSpaceDN/>
        <w:bidi w:val="0"/>
        <w:adjustRightInd/>
        <w:snapToGrid/>
        <w:spacing w:line="240" w:lineRule="auto"/>
        <w:textAlignment w:val="auto"/>
      </w:pPr>
    </w:p>
    <w:p w14:paraId="1E2EC7A4">
      <w:pPr>
        <w:keepNext w:val="0"/>
        <w:keepLines w:val="0"/>
        <w:pageBreakBefore w:val="0"/>
        <w:widowControl w:val="0"/>
        <w:kinsoku/>
        <w:wordWrap/>
        <w:overflowPunct/>
        <w:topLinePunct w:val="0"/>
        <w:autoSpaceDE/>
        <w:autoSpaceDN/>
        <w:bidi w:val="0"/>
        <w:adjustRightInd/>
        <w:snapToGrid/>
        <w:spacing w:line="240" w:lineRule="auto"/>
        <w:textAlignment w:val="auto"/>
      </w:pPr>
    </w:p>
    <w:p w14:paraId="68398494">
      <w:pPr>
        <w:keepNext w:val="0"/>
        <w:keepLines w:val="0"/>
        <w:pageBreakBefore w:val="0"/>
        <w:widowControl w:val="0"/>
        <w:kinsoku/>
        <w:wordWrap/>
        <w:overflowPunct/>
        <w:topLinePunct w:val="0"/>
        <w:autoSpaceDE/>
        <w:autoSpaceDN/>
        <w:bidi w:val="0"/>
        <w:adjustRightInd/>
        <w:snapToGrid/>
        <w:spacing w:line="240" w:lineRule="auto"/>
        <w:textAlignment w:val="auto"/>
      </w:pPr>
    </w:p>
    <w:p w14:paraId="4B4A520C">
      <w:pPr>
        <w:keepNext w:val="0"/>
        <w:keepLines w:val="0"/>
        <w:pageBreakBefore w:val="0"/>
        <w:widowControl w:val="0"/>
        <w:kinsoku/>
        <w:wordWrap/>
        <w:overflowPunct/>
        <w:topLinePunct w:val="0"/>
        <w:autoSpaceDE/>
        <w:autoSpaceDN/>
        <w:bidi w:val="0"/>
        <w:adjustRightInd/>
        <w:snapToGrid/>
        <w:spacing w:line="240" w:lineRule="auto"/>
        <w:textAlignment w:val="auto"/>
      </w:pPr>
    </w:p>
    <w:p w14:paraId="3D1D547F">
      <w:pPr>
        <w:keepNext w:val="0"/>
        <w:keepLines w:val="0"/>
        <w:pageBreakBefore w:val="0"/>
        <w:widowControl w:val="0"/>
        <w:kinsoku/>
        <w:wordWrap/>
        <w:overflowPunct/>
        <w:topLinePunct w:val="0"/>
        <w:autoSpaceDE/>
        <w:autoSpaceDN/>
        <w:bidi w:val="0"/>
        <w:adjustRightInd/>
        <w:snapToGrid/>
        <w:spacing w:line="240" w:lineRule="auto"/>
        <w:textAlignment w:val="auto"/>
      </w:pPr>
    </w:p>
    <w:p w14:paraId="1EA04050">
      <w:pPr>
        <w:keepNext w:val="0"/>
        <w:keepLines w:val="0"/>
        <w:pageBreakBefore w:val="0"/>
        <w:widowControl w:val="0"/>
        <w:kinsoku/>
        <w:wordWrap/>
        <w:overflowPunct/>
        <w:topLinePunct w:val="0"/>
        <w:autoSpaceDE/>
        <w:autoSpaceDN/>
        <w:bidi w:val="0"/>
        <w:adjustRightInd/>
        <w:snapToGrid/>
        <w:spacing w:line="240" w:lineRule="auto"/>
        <w:textAlignment w:val="auto"/>
      </w:pPr>
    </w:p>
    <w:p w14:paraId="35F02DC0">
      <w:pPr>
        <w:keepNext w:val="0"/>
        <w:keepLines w:val="0"/>
        <w:pageBreakBefore w:val="0"/>
        <w:widowControl w:val="0"/>
        <w:kinsoku/>
        <w:wordWrap/>
        <w:overflowPunct/>
        <w:topLinePunct w:val="0"/>
        <w:autoSpaceDE/>
        <w:autoSpaceDN/>
        <w:bidi w:val="0"/>
        <w:adjustRightInd/>
        <w:snapToGrid/>
        <w:spacing w:line="240" w:lineRule="auto"/>
        <w:textAlignment w:val="auto"/>
      </w:pPr>
    </w:p>
    <w:p w14:paraId="62E7A6B8">
      <w:pPr>
        <w:keepNext w:val="0"/>
        <w:keepLines w:val="0"/>
        <w:pageBreakBefore w:val="0"/>
        <w:widowControl w:val="0"/>
        <w:kinsoku/>
        <w:wordWrap/>
        <w:overflowPunct/>
        <w:topLinePunct w:val="0"/>
        <w:autoSpaceDE/>
        <w:autoSpaceDN/>
        <w:bidi w:val="0"/>
        <w:adjustRightInd/>
        <w:snapToGrid/>
        <w:spacing w:line="240" w:lineRule="auto"/>
        <w:textAlignment w:val="auto"/>
      </w:pPr>
    </w:p>
    <w:p w14:paraId="777CA221">
      <w:pPr>
        <w:keepNext w:val="0"/>
        <w:keepLines w:val="0"/>
        <w:pageBreakBefore w:val="0"/>
        <w:widowControl w:val="0"/>
        <w:kinsoku/>
        <w:wordWrap/>
        <w:overflowPunct/>
        <w:topLinePunct w:val="0"/>
        <w:autoSpaceDE/>
        <w:autoSpaceDN/>
        <w:bidi w:val="0"/>
        <w:adjustRightInd/>
        <w:snapToGrid/>
        <w:spacing w:line="240" w:lineRule="auto"/>
        <w:textAlignment w:val="auto"/>
      </w:pPr>
    </w:p>
    <w:p w14:paraId="4E7CC134">
      <w:pPr>
        <w:keepNext w:val="0"/>
        <w:keepLines w:val="0"/>
        <w:pageBreakBefore w:val="0"/>
        <w:widowControl w:val="0"/>
        <w:kinsoku/>
        <w:wordWrap/>
        <w:overflowPunct/>
        <w:topLinePunct w:val="0"/>
        <w:autoSpaceDE/>
        <w:autoSpaceDN/>
        <w:bidi w:val="0"/>
        <w:adjustRightInd/>
        <w:snapToGrid/>
        <w:spacing w:line="240" w:lineRule="auto"/>
        <w:textAlignment w:val="auto"/>
      </w:pPr>
    </w:p>
    <w:p w14:paraId="645579CE">
      <w:pPr>
        <w:keepNext w:val="0"/>
        <w:keepLines w:val="0"/>
        <w:pageBreakBefore w:val="0"/>
        <w:widowControl w:val="0"/>
        <w:kinsoku/>
        <w:wordWrap/>
        <w:overflowPunct/>
        <w:topLinePunct w:val="0"/>
        <w:autoSpaceDE/>
        <w:autoSpaceDN/>
        <w:bidi w:val="0"/>
        <w:adjustRightInd/>
        <w:snapToGrid/>
        <w:spacing w:line="240" w:lineRule="auto"/>
        <w:textAlignment w:val="auto"/>
      </w:pPr>
    </w:p>
    <w:p w14:paraId="4567E264">
      <w:pPr>
        <w:keepNext w:val="0"/>
        <w:keepLines w:val="0"/>
        <w:pageBreakBefore w:val="0"/>
        <w:widowControl w:val="0"/>
        <w:kinsoku/>
        <w:wordWrap/>
        <w:overflowPunct/>
        <w:topLinePunct w:val="0"/>
        <w:autoSpaceDE/>
        <w:autoSpaceDN/>
        <w:bidi w:val="0"/>
        <w:adjustRightInd/>
        <w:snapToGrid/>
        <w:spacing w:line="240" w:lineRule="auto"/>
        <w:textAlignment w:val="auto"/>
      </w:pPr>
    </w:p>
    <w:p w14:paraId="7299A4C8">
      <w:pPr>
        <w:keepNext w:val="0"/>
        <w:keepLines w:val="0"/>
        <w:pageBreakBefore w:val="0"/>
        <w:widowControl w:val="0"/>
        <w:kinsoku/>
        <w:wordWrap/>
        <w:overflowPunct/>
        <w:topLinePunct w:val="0"/>
        <w:autoSpaceDE/>
        <w:autoSpaceDN/>
        <w:bidi w:val="0"/>
        <w:adjustRightInd/>
        <w:snapToGrid/>
        <w:spacing w:line="240" w:lineRule="auto"/>
        <w:textAlignment w:val="auto"/>
      </w:pPr>
    </w:p>
    <w:p w14:paraId="6D470001">
      <w:pPr>
        <w:keepNext w:val="0"/>
        <w:keepLines w:val="0"/>
        <w:pageBreakBefore w:val="0"/>
        <w:widowControl w:val="0"/>
        <w:kinsoku/>
        <w:wordWrap/>
        <w:overflowPunct/>
        <w:topLinePunct w:val="0"/>
        <w:autoSpaceDE/>
        <w:autoSpaceDN/>
        <w:bidi w:val="0"/>
        <w:adjustRightInd/>
        <w:snapToGrid/>
        <w:spacing w:line="240" w:lineRule="auto"/>
        <w:textAlignment w:val="auto"/>
      </w:pPr>
    </w:p>
    <w:p w14:paraId="44BC388B">
      <w:pPr>
        <w:keepNext w:val="0"/>
        <w:keepLines w:val="0"/>
        <w:pageBreakBefore w:val="0"/>
        <w:widowControl w:val="0"/>
        <w:kinsoku/>
        <w:wordWrap/>
        <w:overflowPunct/>
        <w:topLinePunct w:val="0"/>
        <w:autoSpaceDE/>
        <w:autoSpaceDN/>
        <w:bidi w:val="0"/>
        <w:adjustRightInd/>
        <w:snapToGrid/>
        <w:spacing w:line="240" w:lineRule="auto"/>
        <w:textAlignment w:val="auto"/>
      </w:pPr>
    </w:p>
    <w:p w14:paraId="691C14F1">
      <w:pPr>
        <w:keepNext w:val="0"/>
        <w:keepLines w:val="0"/>
        <w:pageBreakBefore w:val="0"/>
        <w:widowControl w:val="0"/>
        <w:kinsoku/>
        <w:wordWrap/>
        <w:overflowPunct/>
        <w:topLinePunct w:val="0"/>
        <w:autoSpaceDE/>
        <w:autoSpaceDN/>
        <w:bidi w:val="0"/>
        <w:adjustRightInd/>
        <w:snapToGrid/>
        <w:spacing w:line="240" w:lineRule="auto"/>
        <w:textAlignment w:val="auto"/>
      </w:pPr>
    </w:p>
    <w:p w14:paraId="58544237">
      <w:pPr>
        <w:keepNext w:val="0"/>
        <w:keepLines w:val="0"/>
        <w:pageBreakBefore w:val="0"/>
        <w:widowControl w:val="0"/>
        <w:kinsoku/>
        <w:wordWrap/>
        <w:overflowPunct/>
        <w:topLinePunct w:val="0"/>
        <w:autoSpaceDE/>
        <w:autoSpaceDN/>
        <w:bidi w:val="0"/>
        <w:adjustRightInd/>
        <w:snapToGrid/>
        <w:spacing w:line="240" w:lineRule="auto"/>
        <w:textAlignment w:val="auto"/>
      </w:pPr>
    </w:p>
    <w:p w14:paraId="26BDD7F1">
      <w:pPr>
        <w:keepNext w:val="0"/>
        <w:keepLines w:val="0"/>
        <w:pageBreakBefore w:val="0"/>
        <w:widowControl w:val="0"/>
        <w:kinsoku/>
        <w:wordWrap/>
        <w:overflowPunct/>
        <w:topLinePunct w:val="0"/>
        <w:autoSpaceDE/>
        <w:autoSpaceDN/>
        <w:bidi w:val="0"/>
        <w:adjustRightInd/>
        <w:snapToGrid/>
        <w:spacing w:line="240" w:lineRule="auto"/>
        <w:textAlignment w:val="auto"/>
      </w:pPr>
    </w:p>
    <w:p w14:paraId="2E071727">
      <w:pPr>
        <w:keepNext w:val="0"/>
        <w:keepLines w:val="0"/>
        <w:pageBreakBefore w:val="0"/>
        <w:widowControl w:val="0"/>
        <w:kinsoku/>
        <w:wordWrap/>
        <w:overflowPunct/>
        <w:topLinePunct w:val="0"/>
        <w:autoSpaceDE/>
        <w:autoSpaceDN/>
        <w:bidi w:val="0"/>
        <w:adjustRightInd/>
        <w:snapToGrid/>
        <w:spacing w:line="240" w:lineRule="auto"/>
        <w:textAlignment w:val="auto"/>
      </w:pPr>
    </w:p>
    <w:p w14:paraId="739FB63C">
      <w:pPr>
        <w:keepNext w:val="0"/>
        <w:keepLines w:val="0"/>
        <w:pageBreakBefore w:val="0"/>
        <w:widowControl w:val="0"/>
        <w:kinsoku/>
        <w:wordWrap/>
        <w:overflowPunct/>
        <w:topLinePunct w:val="0"/>
        <w:autoSpaceDE/>
        <w:autoSpaceDN/>
        <w:bidi w:val="0"/>
        <w:adjustRightInd/>
        <w:snapToGrid/>
        <w:spacing w:line="240" w:lineRule="auto"/>
        <w:textAlignment w:val="auto"/>
      </w:pPr>
    </w:p>
    <w:p w14:paraId="454FA6C9">
      <w:pPr>
        <w:keepNext w:val="0"/>
        <w:keepLines w:val="0"/>
        <w:pageBreakBefore w:val="0"/>
        <w:widowControl w:val="0"/>
        <w:kinsoku/>
        <w:wordWrap/>
        <w:overflowPunct/>
        <w:topLinePunct w:val="0"/>
        <w:autoSpaceDE/>
        <w:autoSpaceDN/>
        <w:bidi w:val="0"/>
        <w:adjustRightInd/>
        <w:snapToGrid/>
        <w:spacing w:line="240" w:lineRule="auto"/>
        <w:textAlignment w:val="auto"/>
      </w:pPr>
    </w:p>
    <w:p w14:paraId="737145BF">
      <w:pPr>
        <w:keepNext w:val="0"/>
        <w:keepLines w:val="0"/>
        <w:pageBreakBefore w:val="0"/>
        <w:widowControl w:val="0"/>
        <w:kinsoku/>
        <w:wordWrap/>
        <w:overflowPunct/>
        <w:topLinePunct w:val="0"/>
        <w:autoSpaceDE/>
        <w:autoSpaceDN/>
        <w:bidi w:val="0"/>
        <w:adjustRightInd/>
        <w:snapToGrid/>
        <w:spacing w:line="240" w:lineRule="auto"/>
        <w:textAlignment w:val="auto"/>
      </w:pPr>
    </w:p>
    <w:p w14:paraId="19653887">
      <w:pPr>
        <w:rPr>
          <w:rFonts w:hint="eastAsia" w:ascii="黑体" w:hAnsi="黑体" w:eastAsia="黑体" w:cs="黑体"/>
          <w:b/>
          <w:bCs/>
          <w:sz w:val="30"/>
          <w:szCs w:val="30"/>
        </w:rPr>
      </w:pPr>
      <w:bookmarkStart w:id="223" w:name="_Toc1727828061"/>
      <w:bookmarkStart w:id="224" w:name="_Toc19986036"/>
      <w:bookmarkStart w:id="225" w:name="_Toc1501323256"/>
      <w:bookmarkStart w:id="226" w:name="_Toc1441521737"/>
      <w:r>
        <w:rPr>
          <w:rFonts w:hint="eastAsia" w:ascii="黑体" w:hAnsi="黑体" w:eastAsia="黑体" w:cs="黑体"/>
          <w:b/>
          <w:bCs/>
          <w:sz w:val="30"/>
          <w:szCs w:val="30"/>
        </w:rPr>
        <w:br w:type="page"/>
      </w:r>
    </w:p>
    <w:p w14:paraId="7F4B2C8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黑体" w:hAnsi="黑体" w:eastAsia="黑体" w:cs="黑体"/>
          <w:b/>
          <w:bCs/>
          <w:sz w:val="30"/>
          <w:szCs w:val="30"/>
        </w:rPr>
      </w:pPr>
      <w:r>
        <w:rPr>
          <w:rFonts w:hint="eastAsia" w:ascii="黑体" w:hAnsi="黑体" w:eastAsia="黑体" w:cs="黑体"/>
          <w:b/>
          <w:bCs/>
          <w:sz w:val="30"/>
          <w:szCs w:val="30"/>
        </w:rPr>
        <w:t>第六章 地震灾后传染病应急措施应对建议</w:t>
      </w:r>
      <w:bookmarkEnd w:id="223"/>
      <w:bookmarkEnd w:id="224"/>
      <w:bookmarkEnd w:id="225"/>
      <w:bookmarkEnd w:id="226"/>
    </w:p>
    <w:p w14:paraId="01F8FC29">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1"/>
        <w:rPr>
          <w:rFonts w:hint="eastAsia" w:ascii="黑体" w:hAnsi="黑体" w:eastAsia="黑体" w:cs="黑体"/>
          <w:sz w:val="28"/>
          <w:szCs w:val="28"/>
        </w:rPr>
      </w:pPr>
      <w:bookmarkStart w:id="227" w:name="_Toc1892811952"/>
      <w:bookmarkStart w:id="228" w:name="_Toc897858120"/>
      <w:bookmarkStart w:id="229" w:name="_Toc1332346493"/>
      <w:bookmarkStart w:id="230" w:name="_Toc1954594989"/>
      <w:r>
        <w:rPr>
          <w:rFonts w:hint="eastAsia" w:ascii="黑体" w:hAnsi="黑体" w:eastAsia="黑体" w:cs="黑体"/>
          <w:sz w:val="28"/>
          <w:szCs w:val="28"/>
        </w:rPr>
        <w:t>6.1强化环境治理与消杀</w:t>
      </w:r>
      <w:bookmarkEnd w:id="227"/>
      <w:bookmarkEnd w:id="228"/>
      <w:bookmarkEnd w:id="229"/>
      <w:bookmarkEnd w:id="230"/>
    </w:p>
    <w:p w14:paraId="47EE69C4">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cstheme="minorEastAsia"/>
          <w:sz w:val="24"/>
        </w:rPr>
      </w:pPr>
      <w:r>
        <w:rPr>
          <w:rFonts w:hint="eastAsia" w:asciiTheme="minorEastAsia" w:hAnsiTheme="minorEastAsia" w:cstheme="minorEastAsia"/>
          <w:sz w:val="24"/>
        </w:rPr>
        <w:t>地震后，保护水源至关重要，当地政府和救援组织应该合作迅速对水资源进行了检测和消毒处理，确保居民能够有干净安全的水饮用。需要对供水系统进行抢修，并且同时把运送过来的救灾纯净水收集起来，在安置点还需要配备净水设备。其次是每天定期对生活垃圾进行处理，对污染物进行消毒，完成尸体消杀工作，安置点每日做到通风消毒。为安置点提供驱蚊剂减少蚊虫叮咬引发的传染病。</w:t>
      </w:r>
    </w:p>
    <w:p w14:paraId="205C58E0">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1"/>
        <w:rPr>
          <w:rFonts w:hint="eastAsia" w:ascii="黑体" w:hAnsi="黑体" w:eastAsia="黑体" w:cs="黑体"/>
          <w:sz w:val="28"/>
          <w:szCs w:val="28"/>
        </w:rPr>
      </w:pPr>
      <w:bookmarkStart w:id="231" w:name="_Toc1815214253"/>
      <w:bookmarkStart w:id="232" w:name="_Toc820631964"/>
      <w:bookmarkStart w:id="233" w:name="_Toc2081319018"/>
      <w:bookmarkStart w:id="234" w:name="_Toc935520582"/>
      <w:r>
        <w:rPr>
          <w:rFonts w:hint="eastAsia" w:ascii="黑体" w:hAnsi="黑体" w:eastAsia="黑体" w:cs="黑体"/>
          <w:sz w:val="28"/>
          <w:szCs w:val="28"/>
        </w:rPr>
        <w:t>6.2完善医疗应急体系</w:t>
      </w:r>
      <w:bookmarkEnd w:id="231"/>
      <w:bookmarkEnd w:id="232"/>
      <w:bookmarkEnd w:id="233"/>
      <w:bookmarkEnd w:id="234"/>
    </w:p>
    <w:p w14:paraId="11CA5D99">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cstheme="minorEastAsia"/>
          <w:sz w:val="24"/>
        </w:rPr>
      </w:pPr>
      <w:r>
        <w:rPr>
          <w:rFonts w:hint="eastAsia" w:asciiTheme="minorEastAsia" w:hAnsiTheme="minorEastAsia" w:cstheme="minorEastAsia"/>
          <w:sz w:val="24"/>
        </w:rPr>
        <w:t>①重新建立流动的医疗点和疾病检测系统，正如邓兵</w:t>
      </w:r>
      <w:r>
        <w:rPr>
          <w:rFonts w:hint="eastAsia" w:asciiTheme="minorEastAsia" w:hAnsiTheme="minorEastAsia" w:cstheme="minorEastAsia"/>
          <w:sz w:val="24"/>
          <w:vertAlign w:val="superscript"/>
        </w:rPr>
        <w:fldChar w:fldCharType="begin"/>
      </w:r>
      <w:r>
        <w:rPr>
          <w:rFonts w:hint="eastAsia" w:asciiTheme="minorEastAsia" w:hAnsiTheme="minorEastAsia" w:cstheme="minorEastAsia"/>
          <w:sz w:val="24"/>
          <w:vertAlign w:val="superscript"/>
        </w:rPr>
        <w:instrText xml:space="preserve"> REF _Ref929724329 \r \h </w:instrText>
      </w:r>
      <w:r>
        <w:rPr>
          <w:rFonts w:hint="eastAsia" w:asciiTheme="minorEastAsia" w:hAnsiTheme="minorEastAsia" w:cstheme="minorEastAsia"/>
          <w:sz w:val="24"/>
          <w:vertAlign w:val="superscript"/>
        </w:rPr>
        <w:fldChar w:fldCharType="separate"/>
      </w:r>
      <w:r>
        <w:rPr>
          <w:rFonts w:hint="eastAsia" w:asciiTheme="minorEastAsia" w:hAnsiTheme="minorEastAsia" w:cstheme="minorEastAsia"/>
          <w:sz w:val="24"/>
          <w:vertAlign w:val="superscript"/>
        </w:rPr>
        <w:t>[7]</w:t>
      </w:r>
      <w:r>
        <w:rPr>
          <w:rFonts w:hint="eastAsia" w:asciiTheme="minorEastAsia" w:hAnsiTheme="minorEastAsia" w:cstheme="minorEastAsia"/>
          <w:sz w:val="24"/>
          <w:vertAlign w:val="superscript"/>
        </w:rPr>
        <w:fldChar w:fldCharType="end"/>
      </w:r>
      <w:r>
        <w:rPr>
          <w:rFonts w:hint="eastAsia" w:asciiTheme="minorEastAsia" w:hAnsiTheme="minorEastAsia" w:cstheme="minorEastAsia"/>
          <w:sz w:val="24"/>
        </w:rPr>
        <w:t>学者在《突发自然灾害疫情应急防控措施探讨》中提出“灾害导致正常的疫情报告体系被打乱，参与救援的各医疗分队应及时建立完善疫情报告制度，重建传染病监测系统。灾后的疫情监测应按照快捷、及时、准确的基本要求“其中重点关注霍乱、登革热等高风险的传染病。</w:t>
      </w:r>
    </w:p>
    <w:p w14:paraId="1B75705B">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cstheme="minorEastAsia"/>
          <w:sz w:val="24"/>
        </w:rPr>
      </w:pPr>
      <w:r>
        <w:rPr>
          <w:rFonts w:hint="eastAsia" w:asciiTheme="minorEastAsia" w:hAnsiTheme="minorEastAsia" w:cstheme="minorEastAsia"/>
          <w:sz w:val="24"/>
        </w:rPr>
        <w:t>②根据当地的受灾情况和可能爆发的传染病，救援组织和当地政府应配备足够的疫苗和抗生素，尤其是关于流感疫苗和霍乱等传染病的疫苗，这是地震灾害最常见的传染病类型，对受灾民众进行疫苗接种宣导，以防止传染病的爆发。</w:t>
      </w:r>
    </w:p>
    <w:p w14:paraId="03640843">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cstheme="minorEastAsia"/>
          <w:sz w:val="24"/>
        </w:rPr>
      </w:pPr>
      <w:r>
        <w:rPr>
          <w:rFonts w:hint="eastAsia" w:asciiTheme="minorEastAsia" w:hAnsiTheme="minorEastAsia" w:cstheme="minorEastAsia"/>
          <w:sz w:val="24"/>
        </w:rPr>
        <w:t>③加强医疗环境的清洁卫生，做好医院消毒隔离工作，是防止院内交叉感染的一项重要保证，与此同时需要加强对医疗废物的管理，可以参考《汶川地震灾区医院感染管理应急措施与体会》</w:t>
      </w:r>
      <w:r>
        <w:rPr>
          <w:rFonts w:hint="eastAsia" w:asciiTheme="minorEastAsia" w:hAnsiTheme="minorEastAsia" w:cstheme="minorEastAsia"/>
          <w:sz w:val="24"/>
          <w:vertAlign w:val="superscript"/>
        </w:rPr>
        <w:fldChar w:fldCharType="begin"/>
      </w:r>
      <w:r>
        <w:rPr>
          <w:rFonts w:hint="eastAsia" w:asciiTheme="minorEastAsia" w:hAnsiTheme="minorEastAsia" w:cstheme="minorEastAsia"/>
          <w:sz w:val="24"/>
          <w:vertAlign w:val="superscript"/>
        </w:rPr>
        <w:instrText xml:space="preserve"> REF _Ref929942820 \r \h </w:instrText>
      </w:r>
      <w:r>
        <w:rPr>
          <w:rFonts w:hint="eastAsia" w:asciiTheme="minorEastAsia" w:hAnsiTheme="minorEastAsia" w:cstheme="minorEastAsia"/>
          <w:sz w:val="24"/>
          <w:vertAlign w:val="superscript"/>
        </w:rPr>
        <w:fldChar w:fldCharType="separate"/>
      </w:r>
      <w:r>
        <w:rPr>
          <w:rFonts w:hint="eastAsia" w:asciiTheme="minorEastAsia" w:hAnsiTheme="minorEastAsia" w:cstheme="minorEastAsia"/>
          <w:sz w:val="24"/>
          <w:vertAlign w:val="superscript"/>
        </w:rPr>
        <w:t>[8]</w:t>
      </w:r>
      <w:r>
        <w:rPr>
          <w:rFonts w:hint="eastAsia" w:asciiTheme="minorEastAsia" w:hAnsiTheme="minorEastAsia" w:cstheme="minorEastAsia"/>
          <w:sz w:val="24"/>
          <w:vertAlign w:val="superscript"/>
        </w:rPr>
        <w:fldChar w:fldCharType="end"/>
      </w:r>
      <w:r>
        <w:rPr>
          <w:rFonts w:hint="eastAsia" w:asciiTheme="minorEastAsia" w:hAnsiTheme="minorEastAsia" w:cstheme="minorEastAsia"/>
          <w:sz w:val="24"/>
        </w:rPr>
        <w:t>中“坚持每天对生活垃圾、医疗废物的分类收集、回收进行监督检查。对污物、垃圾等按规定分门别类处理后，用不同颜色塑料袋密封包装，全部由专职人员及时送往指定的垃圾场处理”</w:t>
      </w:r>
    </w:p>
    <w:p w14:paraId="2F9DA478">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1"/>
        <w:rPr>
          <w:rFonts w:hint="eastAsia" w:ascii="黑体" w:hAnsi="黑体" w:eastAsia="黑体" w:cs="黑体"/>
          <w:sz w:val="28"/>
          <w:szCs w:val="28"/>
        </w:rPr>
      </w:pPr>
      <w:bookmarkStart w:id="235" w:name="_Toc1153260889"/>
      <w:bookmarkStart w:id="236" w:name="_Toc1566641987"/>
      <w:bookmarkStart w:id="237" w:name="_Toc1221437914"/>
      <w:bookmarkStart w:id="238" w:name="_Toc367609543"/>
      <w:r>
        <w:rPr>
          <w:rFonts w:hint="eastAsia" w:ascii="黑体" w:hAnsi="黑体" w:eastAsia="黑体" w:cs="黑体"/>
          <w:sz w:val="28"/>
          <w:szCs w:val="28"/>
        </w:rPr>
        <w:t>6.3提升公众防疫意识</w:t>
      </w:r>
      <w:bookmarkEnd w:id="235"/>
      <w:bookmarkEnd w:id="236"/>
      <w:bookmarkEnd w:id="237"/>
      <w:bookmarkEnd w:id="238"/>
    </w:p>
    <w:p w14:paraId="4DBB56ED">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cstheme="minorEastAsia"/>
          <w:sz w:val="24"/>
        </w:rPr>
      </w:pPr>
      <w:r>
        <w:rPr>
          <w:rFonts w:hint="eastAsia" w:asciiTheme="minorEastAsia" w:hAnsiTheme="minorEastAsia" w:cstheme="minorEastAsia"/>
          <w:sz w:val="24"/>
        </w:rPr>
        <w:t>动员居民积极参与灾后防疫工作，参与环境清理、个人卫生维护等，形成群防群控的良好氛围</w:t>
      </w:r>
      <w:r>
        <w:rPr>
          <w:rFonts w:hint="eastAsia" w:asciiTheme="minorEastAsia" w:hAnsiTheme="minorEastAsia" w:cstheme="minorEastAsia"/>
          <w:sz w:val="24"/>
          <w:vertAlign w:val="superscript"/>
        </w:rPr>
        <w:fldChar w:fldCharType="begin"/>
      </w:r>
      <w:r>
        <w:rPr>
          <w:rFonts w:hint="eastAsia" w:asciiTheme="minorEastAsia" w:hAnsiTheme="minorEastAsia" w:cstheme="minorEastAsia"/>
          <w:sz w:val="24"/>
          <w:vertAlign w:val="superscript"/>
        </w:rPr>
        <w:instrText xml:space="preserve"> REF _Ref930094083 \r \h </w:instrText>
      </w:r>
      <w:r>
        <w:rPr>
          <w:rFonts w:hint="eastAsia" w:asciiTheme="minorEastAsia" w:hAnsiTheme="minorEastAsia" w:cstheme="minorEastAsia"/>
          <w:sz w:val="24"/>
          <w:vertAlign w:val="superscript"/>
        </w:rPr>
        <w:fldChar w:fldCharType="separate"/>
      </w:r>
      <w:r>
        <w:rPr>
          <w:rFonts w:hint="eastAsia" w:asciiTheme="minorEastAsia" w:hAnsiTheme="minorEastAsia" w:cstheme="minorEastAsia"/>
          <w:sz w:val="24"/>
          <w:vertAlign w:val="superscript"/>
        </w:rPr>
        <w:t>[9]</w:t>
      </w:r>
      <w:r>
        <w:rPr>
          <w:rFonts w:hint="eastAsia" w:asciiTheme="minorEastAsia" w:hAnsiTheme="minorEastAsia" w:cstheme="minorEastAsia"/>
          <w:sz w:val="24"/>
          <w:vertAlign w:val="superscript"/>
        </w:rPr>
        <w:fldChar w:fldCharType="end"/>
      </w:r>
      <w:r>
        <w:rPr>
          <w:rFonts w:hint="eastAsia" w:asciiTheme="minorEastAsia" w:hAnsiTheme="minorEastAsia" w:cstheme="minorEastAsia"/>
          <w:sz w:val="24"/>
        </w:rPr>
        <w:t>。通过应急广播和宣传手册，强调饮食安全和饮用水安全，勤洗手，出现症状时第一时间上报。并且加大对志愿者的应急技能培训，协助环境的消毒和防疫宣传。</w:t>
      </w:r>
    </w:p>
    <w:p w14:paraId="29B21D09">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1"/>
        <w:rPr>
          <w:rFonts w:hint="eastAsia" w:ascii="黑体" w:hAnsi="黑体" w:eastAsia="黑体" w:cs="黑体"/>
          <w:sz w:val="28"/>
          <w:szCs w:val="28"/>
        </w:rPr>
      </w:pPr>
      <w:bookmarkStart w:id="239" w:name="_Toc910838925"/>
      <w:bookmarkStart w:id="240" w:name="_Toc254879642"/>
      <w:bookmarkStart w:id="241" w:name="_Toc103136782"/>
      <w:bookmarkStart w:id="242" w:name="_Toc1815847248"/>
      <w:r>
        <w:rPr>
          <w:rFonts w:hint="eastAsia" w:ascii="黑体" w:hAnsi="黑体" w:eastAsia="黑体" w:cs="黑体"/>
          <w:sz w:val="28"/>
          <w:szCs w:val="28"/>
        </w:rPr>
        <w:t>6.4优化应急响应机制</w:t>
      </w:r>
      <w:bookmarkEnd w:id="239"/>
      <w:bookmarkEnd w:id="240"/>
      <w:bookmarkEnd w:id="241"/>
      <w:bookmarkEnd w:id="242"/>
    </w:p>
    <w:p w14:paraId="3110A0B0">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cstheme="minorEastAsia"/>
          <w:sz w:val="24"/>
        </w:rPr>
      </w:pPr>
      <w:r>
        <w:rPr>
          <w:rFonts w:hint="eastAsia" w:asciiTheme="minorEastAsia" w:hAnsiTheme="minorEastAsia" w:cstheme="minorEastAsia"/>
          <w:sz w:val="24"/>
        </w:rPr>
        <w:t>早发现、早诊断、早报告、早隔离、早治疗</w:t>
      </w:r>
      <w:r>
        <w:rPr>
          <w:rFonts w:hint="eastAsia" w:asciiTheme="minorEastAsia" w:hAnsiTheme="minorEastAsia" w:cstheme="minorEastAsia"/>
          <w:sz w:val="24"/>
          <w:vertAlign w:val="superscript"/>
        </w:rPr>
        <w:fldChar w:fldCharType="begin"/>
      </w:r>
      <w:r>
        <w:rPr>
          <w:rFonts w:hint="eastAsia" w:asciiTheme="minorEastAsia" w:hAnsiTheme="minorEastAsia" w:cstheme="minorEastAsia"/>
          <w:sz w:val="24"/>
          <w:vertAlign w:val="superscript"/>
        </w:rPr>
        <w:instrText xml:space="preserve"> REF _Ref930211732 \r \h </w:instrText>
      </w:r>
      <w:r>
        <w:rPr>
          <w:rFonts w:hint="eastAsia" w:asciiTheme="minorEastAsia" w:hAnsiTheme="minorEastAsia" w:cstheme="minorEastAsia"/>
          <w:sz w:val="24"/>
          <w:vertAlign w:val="superscript"/>
        </w:rPr>
        <w:fldChar w:fldCharType="separate"/>
      </w:r>
      <w:r>
        <w:rPr>
          <w:rFonts w:hint="eastAsia" w:asciiTheme="minorEastAsia" w:hAnsiTheme="minorEastAsia" w:cstheme="minorEastAsia"/>
          <w:sz w:val="24"/>
          <w:vertAlign w:val="superscript"/>
        </w:rPr>
        <w:t>[10]</w:t>
      </w:r>
      <w:r>
        <w:rPr>
          <w:rFonts w:hint="eastAsia" w:asciiTheme="minorEastAsia" w:hAnsiTheme="minorEastAsia" w:cstheme="minorEastAsia"/>
          <w:sz w:val="24"/>
          <w:vertAlign w:val="superscript"/>
        </w:rPr>
        <w:fldChar w:fldCharType="end"/>
      </w:r>
      <w:r>
        <w:rPr>
          <w:rFonts w:hint="eastAsia" w:asciiTheme="minorEastAsia" w:hAnsiTheme="minorEastAsia" w:cstheme="minorEastAsia"/>
          <w:sz w:val="24"/>
        </w:rPr>
        <w:t>是传染病防控的重要环节，在地震灾后应该及时将各部门组织起来，分析和共享疫情的实时数据变化，适时的对防疫策略进行执行和更改，传染病监测和疫情报告工作是传染病控制工作的基础</w:t>
      </w:r>
      <w:r>
        <w:rPr>
          <w:rFonts w:hint="eastAsia" w:asciiTheme="minorEastAsia" w:hAnsiTheme="minorEastAsia" w:cstheme="minorEastAsia"/>
          <w:sz w:val="24"/>
          <w:vertAlign w:val="superscript"/>
        </w:rPr>
        <w:fldChar w:fldCharType="begin"/>
      </w:r>
      <w:r>
        <w:rPr>
          <w:rFonts w:hint="eastAsia" w:asciiTheme="minorEastAsia" w:hAnsiTheme="minorEastAsia" w:cstheme="minorEastAsia"/>
          <w:sz w:val="24"/>
          <w:vertAlign w:val="superscript"/>
        </w:rPr>
        <w:instrText xml:space="preserve"> REF _Ref930379802 \r \h </w:instrText>
      </w:r>
      <w:r>
        <w:rPr>
          <w:rFonts w:hint="eastAsia" w:asciiTheme="minorEastAsia" w:hAnsiTheme="minorEastAsia" w:cstheme="minorEastAsia"/>
          <w:sz w:val="24"/>
          <w:vertAlign w:val="superscript"/>
        </w:rPr>
        <w:fldChar w:fldCharType="separate"/>
      </w:r>
      <w:r>
        <w:rPr>
          <w:rFonts w:hint="eastAsia" w:asciiTheme="minorEastAsia" w:hAnsiTheme="minorEastAsia" w:cstheme="minorEastAsia"/>
          <w:sz w:val="24"/>
          <w:vertAlign w:val="superscript"/>
        </w:rPr>
        <w:t>[11]</w:t>
      </w:r>
      <w:r>
        <w:rPr>
          <w:rFonts w:hint="eastAsia" w:asciiTheme="minorEastAsia" w:hAnsiTheme="minorEastAsia" w:cstheme="minorEastAsia"/>
          <w:sz w:val="24"/>
          <w:vertAlign w:val="superscript"/>
        </w:rPr>
        <w:fldChar w:fldCharType="end"/>
      </w:r>
      <w:r>
        <w:rPr>
          <w:rFonts w:hint="eastAsia" w:asciiTheme="minorEastAsia" w:hAnsiTheme="minorEastAsia" w:cstheme="minorEastAsia"/>
          <w:sz w:val="24"/>
        </w:rPr>
        <w:t>。同时加强各应急组织之间的联系，确保救援物资、消杀物资、疫苗等能够精准的投放到有需要的地方。并且要提前制定好地方特色的应急预案，为后面的雨季做好应对准备，提前准备好相应的防疫物资。</w:t>
      </w:r>
    </w:p>
    <w:p w14:paraId="65F13F2D">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1"/>
        <w:rPr>
          <w:rFonts w:hint="eastAsia" w:ascii="黑体" w:hAnsi="黑体" w:eastAsia="黑体" w:cs="黑体"/>
          <w:sz w:val="28"/>
          <w:szCs w:val="28"/>
        </w:rPr>
      </w:pPr>
      <w:bookmarkStart w:id="243" w:name="_Toc1054589619"/>
      <w:bookmarkStart w:id="244" w:name="_Toc1206376659"/>
      <w:bookmarkStart w:id="245" w:name="_Toc1679750976"/>
      <w:bookmarkStart w:id="246" w:name="_Toc400591945"/>
      <w:r>
        <w:rPr>
          <w:rFonts w:hint="eastAsia" w:ascii="黑体" w:hAnsi="黑体" w:eastAsia="黑体" w:cs="黑体"/>
          <w:sz w:val="28"/>
          <w:szCs w:val="28"/>
        </w:rPr>
        <w:t>6.5 SEIR技术的运用</w:t>
      </w:r>
      <w:bookmarkEnd w:id="243"/>
      <w:bookmarkEnd w:id="244"/>
      <w:bookmarkEnd w:id="245"/>
      <w:bookmarkEnd w:id="246"/>
    </w:p>
    <w:p w14:paraId="22393CA8">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pPr>
      <w:r>
        <w:rPr>
          <w:rFonts w:hint="eastAsia" w:asciiTheme="minorEastAsia" w:hAnsiTheme="minorEastAsia" w:cstheme="minorEastAsia"/>
          <w:sz w:val="24"/>
        </w:rPr>
        <w:t>为了更好的了解地震灾害后传染病的扩散范围，可以通过 ＳＥＩＲ 模型进行建模，将 人群划分为 ４ 个类别，分别为易感人群（Ｓ）、潜伏人群（Ｅ）、传染人群（Ｉ）、康复人群（Ｒ）</w:t>
      </w:r>
      <w:r>
        <w:rPr>
          <w:rFonts w:hint="eastAsia" w:asciiTheme="minorEastAsia" w:hAnsiTheme="minorEastAsia" w:cstheme="minorEastAsia"/>
          <w:sz w:val="24"/>
          <w:vertAlign w:val="superscript"/>
        </w:rPr>
        <w:fldChar w:fldCharType="begin"/>
      </w:r>
      <w:r>
        <w:rPr>
          <w:rFonts w:hint="eastAsia" w:asciiTheme="minorEastAsia" w:hAnsiTheme="minorEastAsia" w:cstheme="minorEastAsia"/>
          <w:sz w:val="24"/>
          <w:vertAlign w:val="superscript"/>
        </w:rPr>
        <w:instrText xml:space="preserve"> REF _Ref930497451 \r \h </w:instrText>
      </w:r>
      <w:r>
        <w:rPr>
          <w:rFonts w:hint="eastAsia" w:asciiTheme="minorEastAsia" w:hAnsiTheme="minorEastAsia" w:cstheme="minorEastAsia"/>
          <w:sz w:val="24"/>
          <w:vertAlign w:val="superscript"/>
        </w:rPr>
        <w:fldChar w:fldCharType="separate"/>
      </w:r>
      <w:r>
        <w:rPr>
          <w:rFonts w:hint="eastAsia" w:asciiTheme="minorEastAsia" w:hAnsiTheme="minorEastAsia" w:cstheme="minorEastAsia"/>
          <w:sz w:val="24"/>
          <w:vertAlign w:val="superscript"/>
        </w:rPr>
        <w:t>[12]</w:t>
      </w:r>
      <w:r>
        <w:rPr>
          <w:rFonts w:hint="eastAsia" w:asciiTheme="minorEastAsia" w:hAnsiTheme="minorEastAsia" w:cstheme="minorEastAsia"/>
          <w:sz w:val="24"/>
          <w:vertAlign w:val="superscript"/>
        </w:rPr>
        <w:fldChar w:fldCharType="end"/>
      </w:r>
      <w:r>
        <w:rPr>
          <w:rFonts w:hint="eastAsia" w:asciiTheme="minorEastAsia" w:hAnsiTheme="minorEastAsia" w:cstheme="minorEastAsia"/>
          <w:sz w:val="24"/>
        </w:rPr>
        <w:t>，并分析不同类别人群间的传播情况，对传染病的传播趋势进行分析预测，以达到有效防疫的效果。</w:t>
      </w:r>
    </w:p>
    <w:p w14:paraId="08D8C2E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黑体" w:hAnsi="黑体" w:eastAsia="黑体" w:cs="黑体"/>
          <w:b/>
          <w:bCs/>
          <w:sz w:val="30"/>
          <w:szCs w:val="30"/>
        </w:rPr>
      </w:pPr>
      <w:bookmarkStart w:id="247" w:name="_Toc387586270"/>
      <w:bookmarkStart w:id="248" w:name="_Toc754630170"/>
      <w:bookmarkStart w:id="249" w:name="_Toc1179396486"/>
      <w:bookmarkStart w:id="250" w:name="_Toc1305187842"/>
      <w:r>
        <w:rPr>
          <w:rFonts w:hint="eastAsia" w:ascii="黑体" w:hAnsi="黑体" w:eastAsia="黑体" w:cs="黑体"/>
          <w:b/>
          <w:bCs/>
          <w:sz w:val="30"/>
          <w:szCs w:val="30"/>
        </w:rPr>
        <w:t>第七章 结语</w:t>
      </w:r>
      <w:bookmarkEnd w:id="247"/>
      <w:bookmarkEnd w:id="248"/>
      <w:bookmarkEnd w:id="249"/>
      <w:bookmarkEnd w:id="250"/>
    </w:p>
    <w:p w14:paraId="7EBA593B">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cstheme="minorEastAsia"/>
          <w:sz w:val="24"/>
        </w:rPr>
      </w:pPr>
      <w:r>
        <w:rPr>
          <w:rFonts w:hint="eastAsia" w:asciiTheme="minorEastAsia" w:hAnsiTheme="minorEastAsia" w:cstheme="minorEastAsia"/>
          <w:sz w:val="24"/>
        </w:rPr>
        <w:t>缅甸2025年3月28日发生的7.9级地震给当地带来了严重灾害，该次地震对当地的医疗系统造成了重创，并且在高温多雨、基础设施损坏、水资源污染等情况下，使得缅甸</w:t>
      </w:r>
      <w:r>
        <w:rPr>
          <w:rFonts w:asciiTheme="minorEastAsia" w:hAnsiTheme="minorEastAsia" w:cstheme="minorEastAsia"/>
          <w:sz w:val="24"/>
        </w:rPr>
        <w:t>引发</w:t>
      </w:r>
      <w:r>
        <w:rPr>
          <w:rFonts w:hint="eastAsia" w:asciiTheme="minorEastAsia" w:hAnsiTheme="minorEastAsia" w:cstheme="minorEastAsia"/>
          <w:sz w:val="24"/>
        </w:rPr>
        <w:t>了一定程度的</w:t>
      </w:r>
      <w:r>
        <w:rPr>
          <w:rFonts w:asciiTheme="minorEastAsia" w:hAnsiTheme="minorEastAsia" w:cstheme="minorEastAsia"/>
          <w:sz w:val="24"/>
        </w:rPr>
        <w:t>传染病危机</w:t>
      </w:r>
      <w:r>
        <w:rPr>
          <w:rFonts w:hint="eastAsia" w:asciiTheme="minorEastAsia" w:hAnsiTheme="minorEastAsia" w:cstheme="minorEastAsia"/>
          <w:sz w:val="24"/>
        </w:rPr>
        <w:t>，其中包括了霍乱、登革热、疟疾等。缅甸社会在</w:t>
      </w:r>
      <w:r>
        <w:rPr>
          <w:rFonts w:asciiTheme="minorEastAsia" w:hAnsiTheme="minorEastAsia" w:cstheme="minorEastAsia"/>
          <w:sz w:val="24"/>
        </w:rPr>
        <w:t>自然灾害与公共卫生风险叠加</w:t>
      </w:r>
      <w:r>
        <w:rPr>
          <w:rFonts w:hint="eastAsia" w:asciiTheme="minorEastAsia" w:hAnsiTheme="minorEastAsia" w:cstheme="minorEastAsia"/>
          <w:sz w:val="24"/>
        </w:rPr>
        <w:t>影响下，遭到了</w:t>
      </w:r>
      <w:r>
        <w:rPr>
          <w:rFonts w:asciiTheme="minorEastAsia" w:hAnsiTheme="minorEastAsia" w:cstheme="minorEastAsia"/>
          <w:sz w:val="24"/>
        </w:rPr>
        <w:t>双重冲击</w:t>
      </w:r>
      <w:r>
        <w:rPr>
          <w:rFonts w:hint="eastAsia" w:asciiTheme="minorEastAsia" w:hAnsiTheme="minorEastAsia" w:cstheme="minorEastAsia"/>
          <w:sz w:val="24"/>
        </w:rPr>
        <w:t>，</w:t>
      </w:r>
      <w:r>
        <w:rPr>
          <w:rFonts w:asciiTheme="minorEastAsia" w:hAnsiTheme="minorEastAsia" w:cstheme="minorEastAsia"/>
          <w:sz w:val="24"/>
        </w:rPr>
        <w:t>这场灾难</w:t>
      </w:r>
      <w:r>
        <w:rPr>
          <w:rFonts w:hint="eastAsia" w:asciiTheme="minorEastAsia" w:hAnsiTheme="minorEastAsia" w:cstheme="minorEastAsia"/>
          <w:sz w:val="24"/>
        </w:rPr>
        <w:t>虽然暴</w:t>
      </w:r>
      <w:r>
        <w:rPr>
          <w:rFonts w:asciiTheme="minorEastAsia" w:hAnsiTheme="minorEastAsia" w:cstheme="minorEastAsia"/>
          <w:sz w:val="24"/>
        </w:rPr>
        <w:t>露了</w:t>
      </w:r>
      <w:r>
        <w:rPr>
          <w:rFonts w:hint="eastAsia" w:asciiTheme="minorEastAsia" w:hAnsiTheme="minorEastAsia" w:cstheme="minorEastAsia"/>
          <w:sz w:val="24"/>
        </w:rPr>
        <w:t>发展中国家</w:t>
      </w:r>
      <w:r>
        <w:rPr>
          <w:rFonts w:asciiTheme="minorEastAsia" w:hAnsiTheme="minorEastAsia" w:cstheme="minorEastAsia"/>
          <w:sz w:val="24"/>
        </w:rPr>
        <w:t>在基础设施、医疗体系和应急管理中的系统脆弱性，</w:t>
      </w:r>
      <w:r>
        <w:rPr>
          <w:rFonts w:hint="eastAsia" w:asciiTheme="minorEastAsia" w:hAnsiTheme="minorEastAsia" w:cstheme="minorEastAsia"/>
          <w:sz w:val="24"/>
        </w:rPr>
        <w:t>但</w:t>
      </w:r>
      <w:r>
        <w:rPr>
          <w:rFonts w:asciiTheme="minorEastAsia" w:hAnsiTheme="minorEastAsia" w:cstheme="minorEastAsia"/>
          <w:sz w:val="24"/>
        </w:rPr>
        <w:t xml:space="preserve">也为全球灾害防控提供了深刻启示。  </w:t>
      </w:r>
    </w:p>
    <w:p w14:paraId="4DFE1E8D">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cstheme="minorEastAsia"/>
          <w:sz w:val="24"/>
        </w:rPr>
      </w:pPr>
      <w:r>
        <w:rPr>
          <w:rFonts w:hint="eastAsia" w:asciiTheme="minorEastAsia" w:hAnsiTheme="minorEastAsia" w:cstheme="minorEastAsia"/>
          <w:sz w:val="24"/>
        </w:rPr>
        <w:t>本文基于目前缅甸政府的灾后应急措施和灾后传染病高发的情况进行研究和分析，研究得出地震后传染病的暴发主要存在这四个风险因素：一是基础设施严重损坏，尤其是供水系统瘫痪，导致饮用水源遭到污染；二是缅甸的热带气候特点，导致蚊虫滋生，提高了登革热和疟疾的传播风险；三是医疗资源不足，地震导致的医院设施损毁、药品短缺和医护人员防疫能力薄弱等，给灾后防疫带来一定的困难；四是社会脆弱性与协调障碍，在自然灾害和卫生风险的叠加下，缅甸本土呈现的应急体系存在一定弊端。</w:t>
      </w:r>
    </w:p>
    <w:p w14:paraId="28E6D347">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cstheme="minorEastAsia"/>
          <w:sz w:val="24"/>
        </w:rPr>
      </w:pPr>
      <w:r>
        <w:rPr>
          <w:rFonts w:asciiTheme="minorEastAsia" w:hAnsiTheme="minorEastAsia" w:cstheme="minorEastAsia"/>
          <w:sz w:val="24"/>
        </w:rPr>
        <w:t>国际援助的快速响应虽缓解了短期危机，但本土能力的缺失导致长期防控乏力</w:t>
      </w:r>
      <w:r>
        <w:rPr>
          <w:rFonts w:hint="eastAsia" w:asciiTheme="minorEastAsia" w:hAnsiTheme="minorEastAsia" w:cstheme="minorEastAsia"/>
          <w:sz w:val="24"/>
        </w:rPr>
        <w:t>，在这基础上</w:t>
      </w:r>
      <w:r>
        <w:rPr>
          <w:rFonts w:asciiTheme="minorEastAsia" w:hAnsiTheme="minorEastAsia" w:cstheme="minorEastAsia"/>
          <w:sz w:val="24"/>
        </w:rPr>
        <w:t>本研究提出“短期应急”与“长期赋能”并重的策略</w:t>
      </w:r>
      <w:r>
        <w:rPr>
          <w:rFonts w:hint="eastAsia" w:asciiTheme="minorEastAsia" w:hAnsiTheme="minorEastAsia" w:cstheme="minorEastAsia"/>
          <w:sz w:val="24"/>
        </w:rPr>
        <w:t xml:space="preserve">，主要是以下五方面：一是强化环境治理与消杀，重点保证饮用水的安全；二是完善医疗应急体系，建立流动医疗点与疫情监测系统，加强医疗环境的卫生；三是提升公众防疫意识，大力宣传与普及相关防疫知识；四是优化应急响应机制，做到“早发现、早诊断、早报告、早隔离、早治疗”；五是运用SEIR模型预测传染病传播趋势，对于灾后的传染病能够及时防范。  </w:t>
      </w:r>
      <w:r>
        <w:rPr>
          <w:rFonts w:asciiTheme="minorEastAsia" w:hAnsiTheme="minorEastAsia" w:cstheme="minorEastAsia"/>
          <w:sz w:val="24"/>
        </w:rPr>
        <w:t xml:space="preserve"> </w:t>
      </w:r>
    </w:p>
    <w:p w14:paraId="3A440C48">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cstheme="minorEastAsia"/>
          <w:sz w:val="24"/>
        </w:rPr>
      </w:pPr>
      <w:r>
        <w:rPr>
          <w:rFonts w:asciiTheme="minorEastAsia" w:hAnsiTheme="minorEastAsia" w:cstheme="minorEastAsia"/>
          <w:sz w:val="24"/>
        </w:rPr>
        <w:t>本研究</w:t>
      </w:r>
      <w:r>
        <w:rPr>
          <w:rFonts w:hint="eastAsia" w:asciiTheme="minorEastAsia" w:hAnsiTheme="minorEastAsia" w:cstheme="minorEastAsia"/>
          <w:sz w:val="24"/>
        </w:rPr>
        <w:t>也存在一定</w:t>
      </w:r>
      <w:r>
        <w:rPr>
          <w:rFonts w:asciiTheme="minorEastAsia" w:hAnsiTheme="minorEastAsia" w:cstheme="minorEastAsia"/>
          <w:sz w:val="24"/>
        </w:rPr>
        <w:t>的局限性</w:t>
      </w:r>
      <w:r>
        <w:rPr>
          <w:rFonts w:hint="eastAsia" w:asciiTheme="minorEastAsia" w:hAnsiTheme="minorEastAsia" w:cstheme="minorEastAsia"/>
          <w:sz w:val="24"/>
        </w:rPr>
        <w:t>，其中在数据方面，表现</w:t>
      </w:r>
      <w:r>
        <w:rPr>
          <w:rFonts w:asciiTheme="minorEastAsia" w:hAnsiTheme="minorEastAsia" w:cstheme="minorEastAsia"/>
          <w:sz w:val="24"/>
        </w:rPr>
        <w:t>在</w:t>
      </w:r>
      <w:r>
        <w:rPr>
          <w:rFonts w:hint="eastAsia" w:asciiTheme="minorEastAsia" w:hAnsiTheme="minorEastAsia" w:cstheme="minorEastAsia"/>
          <w:sz w:val="24"/>
        </w:rPr>
        <w:t>研究中的</w:t>
      </w:r>
      <w:r>
        <w:rPr>
          <w:rFonts w:asciiTheme="minorEastAsia" w:hAnsiTheme="minorEastAsia" w:cstheme="minorEastAsia"/>
          <w:sz w:val="24"/>
        </w:rPr>
        <w:t>部分数据依赖媒体报道和官方统计，</w:t>
      </w:r>
      <w:r>
        <w:rPr>
          <w:rFonts w:hint="eastAsia" w:asciiTheme="minorEastAsia" w:hAnsiTheme="minorEastAsia" w:cstheme="minorEastAsia"/>
          <w:sz w:val="24"/>
        </w:rPr>
        <w:t>由于地震发生的时间距离本研究较近，数据可能有一定误差，对于</w:t>
      </w:r>
      <w:r>
        <w:rPr>
          <w:rFonts w:asciiTheme="minorEastAsia" w:hAnsiTheme="minorEastAsia" w:cstheme="minorEastAsia"/>
          <w:sz w:val="24"/>
        </w:rPr>
        <w:t>SEIR模型的应用尚未结合缅甸具体人口流动数据，未来需进一步验证</w:t>
      </w:r>
      <w:r>
        <w:rPr>
          <w:rFonts w:hint="eastAsia" w:asciiTheme="minorEastAsia" w:hAnsiTheme="minorEastAsia" w:cstheme="minorEastAsia"/>
          <w:sz w:val="24"/>
        </w:rPr>
        <w:t>。同时由于地震地区距离较远。并且地震区域还处于灾后重建阶段，导致本研究的</w:t>
      </w:r>
      <w:r>
        <w:rPr>
          <w:rFonts w:asciiTheme="minorEastAsia" w:hAnsiTheme="minorEastAsia" w:cstheme="minorEastAsia"/>
          <w:sz w:val="24"/>
        </w:rPr>
        <w:t>实地调研深度不足</w:t>
      </w:r>
      <w:r>
        <w:rPr>
          <w:rFonts w:hint="eastAsia" w:asciiTheme="minorEastAsia" w:hAnsiTheme="minorEastAsia" w:cstheme="minorEastAsia"/>
          <w:sz w:val="24"/>
        </w:rPr>
        <w:t>，有待日后的研究</w:t>
      </w:r>
      <w:r>
        <w:rPr>
          <w:rFonts w:asciiTheme="minorEastAsia" w:hAnsiTheme="minorEastAsia" w:cstheme="minorEastAsia"/>
          <w:sz w:val="24"/>
        </w:rPr>
        <w:t>。</w:t>
      </w:r>
    </w:p>
    <w:p w14:paraId="5F97F68D">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cstheme="minorEastAsia"/>
          <w:sz w:val="24"/>
        </w:rPr>
      </w:pPr>
      <w:r>
        <w:rPr>
          <w:rFonts w:asciiTheme="minorEastAsia" w:hAnsiTheme="minorEastAsia" w:cstheme="minorEastAsia"/>
          <w:sz w:val="24"/>
        </w:rPr>
        <w:t>自然灾害与传染病的</w:t>
      </w:r>
      <w:r>
        <w:rPr>
          <w:rFonts w:hint="eastAsia" w:asciiTheme="minorEastAsia" w:hAnsiTheme="minorEastAsia" w:cstheme="minorEastAsia"/>
          <w:sz w:val="24"/>
        </w:rPr>
        <w:t>双重叠加</w:t>
      </w:r>
      <w:r>
        <w:rPr>
          <w:rFonts w:asciiTheme="minorEastAsia" w:hAnsiTheme="minorEastAsia" w:cstheme="minorEastAsia"/>
          <w:sz w:val="24"/>
        </w:rPr>
        <w:t>，是对人类社会的严峻考验。曼德勒的教训表明，唯有将科学防控、国际合作与本土能力建设相结合，才能在废墟中筑牢生命防线。全球社会需以此次灾难为鉴，推动建立更公平、更高效的灾害响应机制，为实现可持续发展目标提供坚实保障。</w:t>
      </w:r>
    </w:p>
    <w:p w14:paraId="63DA7B9A"/>
    <w:p w14:paraId="4FC4B0DD"/>
    <w:p w14:paraId="47C1FA08"/>
    <w:p w14:paraId="77A1E663"/>
    <w:p w14:paraId="191049DF"/>
    <w:p w14:paraId="20EEA4B0"/>
    <w:p w14:paraId="7E30C202"/>
    <w:p w14:paraId="2F8FD145"/>
    <w:p w14:paraId="3B5C185D"/>
    <w:p w14:paraId="571F6886"/>
    <w:p w14:paraId="6AF9B41E"/>
    <w:p w14:paraId="087FE221"/>
    <w:p w14:paraId="5FFC12A1"/>
    <w:p w14:paraId="646389CC">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0"/>
        <w:rPr>
          <w:rFonts w:hint="eastAsia" w:ascii="黑体" w:hAnsi="黑体" w:eastAsia="黑体" w:cs="黑体"/>
          <w:sz w:val="28"/>
          <w:szCs w:val="28"/>
        </w:rPr>
      </w:pPr>
      <w:bookmarkStart w:id="251" w:name="_Toc1894090036"/>
      <w:r>
        <w:rPr>
          <w:rFonts w:hint="eastAsia" w:ascii="黑体" w:hAnsi="黑体" w:eastAsia="黑体" w:cs="黑体"/>
          <w:sz w:val="28"/>
          <w:szCs w:val="28"/>
        </w:rPr>
        <w:t>参考文献</w:t>
      </w:r>
      <w:bookmarkEnd w:id="251"/>
    </w:p>
    <w:p w14:paraId="59AA32BF">
      <w:pPr>
        <w:keepNext w:val="0"/>
        <w:keepLines w:val="0"/>
        <w:pageBreakBefore w:val="0"/>
        <w:widowControl w:val="0"/>
        <w:numPr>
          <w:ilvl w:val="0"/>
          <w:numId w:val="1"/>
        </w:numPr>
        <w:kinsoku/>
        <w:wordWrap w:val="0"/>
        <w:overflowPunct/>
        <w:topLinePunct w:val="0"/>
        <w:autoSpaceDE w:val="0"/>
        <w:autoSpaceDN w:val="0"/>
        <w:bidi w:val="0"/>
        <w:adjustRightInd/>
        <w:snapToGrid/>
        <w:spacing w:line="360" w:lineRule="auto"/>
        <w:jc w:val="left"/>
        <w:textAlignment w:val="auto"/>
        <w:outlineLvl w:val="9"/>
        <w:rPr>
          <w:rFonts w:hint="eastAsia" w:asciiTheme="minorEastAsia" w:hAnsiTheme="minorEastAsia" w:cstheme="minorEastAsia"/>
          <w:szCs w:val="21"/>
        </w:rPr>
      </w:pPr>
      <w:bookmarkStart w:id="252" w:name="_Ref924514159"/>
      <w:r>
        <w:rPr>
          <w:rFonts w:hint="eastAsia" w:asciiTheme="minorEastAsia" w:hAnsiTheme="minorEastAsia" w:cstheme="minorEastAsia"/>
          <w:szCs w:val="21"/>
        </w:rPr>
        <w:t>T.Gerlinger,B.Babitsch,B.Blätiner,G.Bolte,T.Brandes,M.-L.Dierks,G.Faller,A.Gerhardus,B.Gusy.Situation and Perspectives of Ppblic Health in Germany-Research and Teaching[J].Gesundheitswesen,2012,74(11).</w:t>
      </w:r>
      <w:bookmarkEnd w:id="252"/>
    </w:p>
    <w:p w14:paraId="7169A8D8">
      <w:pPr>
        <w:keepNext w:val="0"/>
        <w:keepLines w:val="0"/>
        <w:pageBreakBefore w:val="0"/>
        <w:widowControl w:val="0"/>
        <w:numPr>
          <w:ilvl w:val="0"/>
          <w:numId w:val="1"/>
        </w:numPr>
        <w:kinsoku/>
        <w:wordWrap w:val="0"/>
        <w:overflowPunct/>
        <w:topLinePunct w:val="0"/>
        <w:autoSpaceDE w:val="0"/>
        <w:autoSpaceDN w:val="0"/>
        <w:bidi w:val="0"/>
        <w:adjustRightInd/>
        <w:snapToGrid/>
        <w:spacing w:line="360" w:lineRule="auto"/>
        <w:jc w:val="left"/>
        <w:textAlignment w:val="auto"/>
        <w:outlineLvl w:val="9"/>
        <w:rPr>
          <w:rFonts w:hint="eastAsia" w:asciiTheme="minorEastAsia" w:hAnsiTheme="minorEastAsia" w:cstheme="minorEastAsia"/>
          <w:szCs w:val="21"/>
        </w:rPr>
      </w:pPr>
      <w:bookmarkStart w:id="253" w:name="_Ref925438544"/>
      <w:r>
        <w:rPr>
          <w:rFonts w:hint="eastAsia" w:asciiTheme="minorEastAsia" w:hAnsiTheme="minorEastAsia" w:cstheme="minorEastAsia"/>
          <w:szCs w:val="21"/>
        </w:rPr>
        <w:t>陈钢铁,贺政纲,黎青松.考虑公众期望的震后应急资源调度优化研究[J].中国安全科学学报.2014-06-15</w:t>
      </w:r>
      <w:bookmarkEnd w:id="253"/>
    </w:p>
    <w:p w14:paraId="7D7F500A">
      <w:pPr>
        <w:keepNext w:val="0"/>
        <w:keepLines w:val="0"/>
        <w:pageBreakBefore w:val="0"/>
        <w:widowControl w:val="0"/>
        <w:numPr>
          <w:ilvl w:val="0"/>
          <w:numId w:val="1"/>
        </w:numPr>
        <w:kinsoku/>
        <w:wordWrap w:val="0"/>
        <w:overflowPunct/>
        <w:topLinePunct w:val="0"/>
        <w:autoSpaceDE w:val="0"/>
        <w:autoSpaceDN w:val="0"/>
        <w:bidi w:val="0"/>
        <w:adjustRightInd/>
        <w:snapToGrid/>
        <w:spacing w:line="360" w:lineRule="auto"/>
        <w:jc w:val="left"/>
        <w:textAlignment w:val="auto"/>
        <w:outlineLvl w:val="9"/>
        <w:rPr>
          <w:rFonts w:hint="eastAsia" w:asciiTheme="minorEastAsia" w:hAnsiTheme="minorEastAsia" w:cstheme="minorEastAsia"/>
          <w:szCs w:val="21"/>
        </w:rPr>
      </w:pPr>
      <w:bookmarkStart w:id="254" w:name="_Ref925589807"/>
      <w:r>
        <w:rPr>
          <w:rFonts w:hint="eastAsia" w:asciiTheme="minorEastAsia" w:hAnsiTheme="minorEastAsia" w:cstheme="minorEastAsia"/>
          <w:szCs w:val="21"/>
        </w:rPr>
        <w:t>CHEN M, ZHAO Y. Discussion on coordination problems and strategies of medical and health systems in health emergency treatment:a case study of COVID-19 emergency treatment in</w:t>
      </w:r>
      <w:bookmarkEnd w:id="254"/>
      <w:r>
        <w:rPr>
          <w:rFonts w:hint="eastAsia" w:asciiTheme="minorEastAsia" w:hAnsiTheme="minorEastAsia" w:cstheme="minorEastAsia"/>
          <w:szCs w:val="21"/>
        </w:rPr>
        <w:t xml:space="preserve"> Wuhan City[C]. 2020 International Conference on Public Health and Data Science(ICPHDS). Guangzhou:ICPHDS,2020.</w:t>
      </w:r>
    </w:p>
    <w:p w14:paraId="182E8D4A">
      <w:pPr>
        <w:keepNext w:val="0"/>
        <w:keepLines w:val="0"/>
        <w:pageBreakBefore w:val="0"/>
        <w:widowControl w:val="0"/>
        <w:numPr>
          <w:ilvl w:val="0"/>
          <w:numId w:val="1"/>
        </w:numPr>
        <w:kinsoku/>
        <w:wordWrap w:val="0"/>
        <w:overflowPunct/>
        <w:topLinePunct w:val="0"/>
        <w:autoSpaceDE w:val="0"/>
        <w:autoSpaceDN w:val="0"/>
        <w:bidi w:val="0"/>
        <w:adjustRightInd/>
        <w:snapToGrid/>
        <w:spacing w:line="360" w:lineRule="auto"/>
        <w:jc w:val="left"/>
        <w:textAlignment w:val="auto"/>
        <w:outlineLvl w:val="9"/>
        <w:rPr>
          <w:rFonts w:hint="eastAsia" w:asciiTheme="minorEastAsia" w:hAnsiTheme="minorEastAsia" w:cstheme="minorEastAsia"/>
          <w:szCs w:val="21"/>
        </w:rPr>
      </w:pPr>
      <w:bookmarkStart w:id="255" w:name="_Ref927304121"/>
      <w:r>
        <w:rPr>
          <w:rFonts w:hint="eastAsia" w:asciiTheme="minorEastAsia" w:hAnsiTheme="minorEastAsia" w:cstheme="minorEastAsia"/>
          <w:szCs w:val="21"/>
        </w:rPr>
        <w:t>锁箭,杨涵,向凯.我国突发公共卫生事件应急管理体系:现实､国际经验与未来构想[J].电子科技大学学报(社科版).2020-06-05</w:t>
      </w:r>
      <w:bookmarkEnd w:id="255"/>
    </w:p>
    <w:p w14:paraId="4CEF1AE3">
      <w:pPr>
        <w:keepNext w:val="0"/>
        <w:keepLines w:val="0"/>
        <w:pageBreakBefore w:val="0"/>
        <w:widowControl w:val="0"/>
        <w:numPr>
          <w:ilvl w:val="0"/>
          <w:numId w:val="1"/>
        </w:numPr>
        <w:kinsoku/>
        <w:wordWrap w:val="0"/>
        <w:overflowPunct/>
        <w:topLinePunct w:val="0"/>
        <w:autoSpaceDE w:val="0"/>
        <w:autoSpaceDN w:val="0"/>
        <w:bidi w:val="0"/>
        <w:adjustRightInd/>
        <w:snapToGrid/>
        <w:spacing w:line="360" w:lineRule="auto"/>
        <w:jc w:val="left"/>
        <w:textAlignment w:val="auto"/>
        <w:outlineLvl w:val="9"/>
        <w:rPr>
          <w:rFonts w:hint="eastAsia" w:asciiTheme="minorEastAsia" w:hAnsiTheme="minorEastAsia" w:cstheme="minorEastAsia"/>
          <w:szCs w:val="21"/>
        </w:rPr>
      </w:pPr>
      <w:bookmarkStart w:id="256" w:name="_Ref927421770"/>
      <w:r>
        <w:rPr>
          <w:rFonts w:hint="eastAsia" w:asciiTheme="minorEastAsia" w:hAnsiTheme="minorEastAsia" w:cstheme="minorEastAsia"/>
          <w:szCs w:val="21"/>
        </w:rPr>
        <w:t>陈红芳,顾大勇,王晶哲,赵晓娜,刘同功.登革热病原学和诊断方法研究进展[J].现代疾病预防控制｡2025-04-24</w:t>
      </w:r>
      <w:bookmarkEnd w:id="256"/>
    </w:p>
    <w:p w14:paraId="0BE7497D">
      <w:pPr>
        <w:keepNext w:val="0"/>
        <w:keepLines w:val="0"/>
        <w:pageBreakBefore w:val="0"/>
        <w:widowControl w:val="0"/>
        <w:numPr>
          <w:ilvl w:val="0"/>
          <w:numId w:val="1"/>
        </w:numPr>
        <w:kinsoku/>
        <w:wordWrap w:val="0"/>
        <w:overflowPunct/>
        <w:topLinePunct w:val="0"/>
        <w:autoSpaceDE w:val="0"/>
        <w:autoSpaceDN w:val="0"/>
        <w:bidi w:val="0"/>
        <w:adjustRightInd/>
        <w:snapToGrid/>
        <w:spacing w:line="360" w:lineRule="auto"/>
        <w:jc w:val="left"/>
        <w:textAlignment w:val="auto"/>
        <w:outlineLvl w:val="9"/>
        <w:rPr>
          <w:rFonts w:hint="eastAsia" w:asciiTheme="minorEastAsia" w:hAnsiTheme="minorEastAsia" w:cstheme="minorEastAsia"/>
          <w:szCs w:val="21"/>
        </w:rPr>
      </w:pPr>
      <w:bookmarkStart w:id="257" w:name="_Ref927690682"/>
      <w:r>
        <w:rPr>
          <w:rFonts w:hint="eastAsia" w:asciiTheme="minorEastAsia" w:hAnsiTheme="minorEastAsia" w:cstheme="minorEastAsia"/>
          <w:szCs w:val="21"/>
        </w:rPr>
        <w:t>汤少梁,李玮｡基于4R模式突发公共卫生事件危机管理的研究｡辽宁中医药大学学报[J].2011-05-05</w:t>
      </w:r>
      <w:bookmarkEnd w:id="257"/>
    </w:p>
    <w:p w14:paraId="42FAFDC7">
      <w:pPr>
        <w:keepNext w:val="0"/>
        <w:keepLines w:val="0"/>
        <w:pageBreakBefore w:val="0"/>
        <w:widowControl w:val="0"/>
        <w:numPr>
          <w:ilvl w:val="0"/>
          <w:numId w:val="1"/>
        </w:numPr>
        <w:kinsoku/>
        <w:wordWrap w:val="0"/>
        <w:overflowPunct/>
        <w:topLinePunct w:val="0"/>
        <w:autoSpaceDE w:val="0"/>
        <w:autoSpaceDN w:val="0"/>
        <w:bidi w:val="0"/>
        <w:adjustRightInd/>
        <w:snapToGrid/>
        <w:spacing w:line="360" w:lineRule="auto"/>
        <w:jc w:val="left"/>
        <w:textAlignment w:val="auto"/>
        <w:outlineLvl w:val="9"/>
        <w:rPr>
          <w:rFonts w:hint="eastAsia" w:asciiTheme="minorEastAsia" w:hAnsiTheme="minorEastAsia" w:cstheme="minorEastAsia"/>
          <w:szCs w:val="21"/>
        </w:rPr>
      </w:pPr>
      <w:bookmarkStart w:id="258" w:name="_Ref929724329"/>
      <w:r>
        <w:rPr>
          <w:rFonts w:hint="eastAsia" w:asciiTheme="minorEastAsia" w:hAnsiTheme="minorEastAsia" w:cstheme="minorEastAsia"/>
          <w:szCs w:val="21"/>
        </w:rPr>
        <w:t>邓兵,马涛.突发自然灾害疫情应急防控措施探讨[J].医学动物防治,2014-11-25.</w:t>
      </w:r>
      <w:bookmarkEnd w:id="258"/>
    </w:p>
    <w:p w14:paraId="31E68C11">
      <w:pPr>
        <w:keepNext w:val="0"/>
        <w:keepLines w:val="0"/>
        <w:pageBreakBefore w:val="0"/>
        <w:widowControl w:val="0"/>
        <w:numPr>
          <w:ilvl w:val="0"/>
          <w:numId w:val="1"/>
        </w:numPr>
        <w:kinsoku/>
        <w:wordWrap w:val="0"/>
        <w:overflowPunct/>
        <w:topLinePunct w:val="0"/>
        <w:autoSpaceDE w:val="0"/>
        <w:autoSpaceDN w:val="0"/>
        <w:bidi w:val="0"/>
        <w:adjustRightInd/>
        <w:snapToGrid/>
        <w:spacing w:line="360" w:lineRule="auto"/>
        <w:jc w:val="left"/>
        <w:textAlignment w:val="auto"/>
        <w:outlineLvl w:val="9"/>
        <w:rPr>
          <w:rFonts w:hint="eastAsia" w:asciiTheme="minorEastAsia" w:hAnsiTheme="minorEastAsia" w:cstheme="minorEastAsia"/>
          <w:szCs w:val="21"/>
        </w:rPr>
      </w:pPr>
      <w:bookmarkStart w:id="259" w:name="_Ref929942820"/>
      <w:r>
        <w:rPr>
          <w:rFonts w:hint="eastAsia" w:asciiTheme="minorEastAsia" w:hAnsiTheme="minorEastAsia" w:cstheme="minorEastAsia"/>
          <w:szCs w:val="21"/>
        </w:rPr>
        <w:t>靳冬香;刘敏;张定树;林莉.汶川地震灾区医院感染管理应急措施与体会[J].哈尔滨医药.2008-12-25</w:t>
      </w:r>
      <w:r>
        <w:rPr>
          <w:rFonts w:hint="eastAsia" w:asciiTheme="minorEastAsia" w:hAnsiTheme="minorEastAsia" w:cstheme="minorEastAsia"/>
          <w:szCs w:val="21"/>
        </w:rPr>
        <w:tab/>
      </w:r>
      <w:r>
        <w:rPr>
          <w:rFonts w:hint="eastAsia" w:asciiTheme="minorEastAsia" w:hAnsiTheme="minorEastAsia" w:cstheme="minorEastAsia"/>
          <w:szCs w:val="21"/>
        </w:rPr>
        <w:tab/>
      </w:r>
      <w:bookmarkEnd w:id="259"/>
    </w:p>
    <w:p w14:paraId="74983AAB">
      <w:pPr>
        <w:keepNext w:val="0"/>
        <w:keepLines w:val="0"/>
        <w:pageBreakBefore w:val="0"/>
        <w:widowControl w:val="0"/>
        <w:numPr>
          <w:ilvl w:val="0"/>
          <w:numId w:val="1"/>
        </w:numPr>
        <w:kinsoku/>
        <w:wordWrap w:val="0"/>
        <w:overflowPunct/>
        <w:topLinePunct w:val="0"/>
        <w:autoSpaceDE w:val="0"/>
        <w:autoSpaceDN w:val="0"/>
        <w:bidi w:val="0"/>
        <w:adjustRightInd/>
        <w:snapToGrid/>
        <w:spacing w:line="360" w:lineRule="auto"/>
        <w:jc w:val="left"/>
        <w:textAlignment w:val="auto"/>
        <w:outlineLvl w:val="9"/>
        <w:rPr>
          <w:rFonts w:hint="eastAsia" w:asciiTheme="minorEastAsia" w:hAnsiTheme="minorEastAsia" w:cstheme="minorEastAsia"/>
          <w:szCs w:val="21"/>
        </w:rPr>
      </w:pPr>
      <w:bookmarkStart w:id="260" w:name="_Ref930094083"/>
      <w:r>
        <w:rPr>
          <w:rFonts w:hint="eastAsia" w:asciiTheme="minorEastAsia" w:hAnsiTheme="minorEastAsia" w:cstheme="minorEastAsia"/>
          <w:szCs w:val="21"/>
        </w:rPr>
        <w:t>许林｡台风灾后公共卫生防疫工作问题与对策[J].海口日报｡2024 -9 -27 :2</w:t>
      </w:r>
      <w:bookmarkEnd w:id="260"/>
    </w:p>
    <w:p w14:paraId="0F0FB1CD">
      <w:pPr>
        <w:keepNext w:val="0"/>
        <w:keepLines w:val="0"/>
        <w:pageBreakBefore w:val="0"/>
        <w:widowControl w:val="0"/>
        <w:numPr>
          <w:ilvl w:val="0"/>
          <w:numId w:val="1"/>
        </w:numPr>
        <w:kinsoku/>
        <w:wordWrap w:val="0"/>
        <w:overflowPunct/>
        <w:topLinePunct w:val="0"/>
        <w:autoSpaceDE w:val="0"/>
        <w:autoSpaceDN w:val="0"/>
        <w:bidi w:val="0"/>
        <w:adjustRightInd/>
        <w:snapToGrid/>
        <w:spacing w:line="360" w:lineRule="auto"/>
        <w:jc w:val="left"/>
        <w:textAlignment w:val="auto"/>
        <w:outlineLvl w:val="9"/>
        <w:rPr>
          <w:rFonts w:hint="eastAsia" w:asciiTheme="minorEastAsia" w:hAnsiTheme="minorEastAsia" w:cstheme="minorEastAsia"/>
          <w:szCs w:val="21"/>
        </w:rPr>
      </w:pPr>
      <w:bookmarkStart w:id="261" w:name="_Ref930211732"/>
      <w:r>
        <w:rPr>
          <w:rFonts w:hint="eastAsia" w:asciiTheme="minorEastAsia" w:hAnsiTheme="minorEastAsia" w:cstheme="minorEastAsia"/>
          <w:szCs w:val="21"/>
        </w:rPr>
        <w:t>姚云.地震后汶川县传染病应急预防控制措施和效果分析[J].海峡预防医学杂志20108(4):67-69.</w:t>
      </w:r>
      <w:bookmarkEnd w:id="261"/>
    </w:p>
    <w:p w14:paraId="6824CCBA">
      <w:pPr>
        <w:keepNext w:val="0"/>
        <w:keepLines w:val="0"/>
        <w:pageBreakBefore w:val="0"/>
        <w:widowControl w:val="0"/>
        <w:numPr>
          <w:ilvl w:val="0"/>
          <w:numId w:val="1"/>
        </w:numPr>
        <w:kinsoku/>
        <w:wordWrap w:val="0"/>
        <w:overflowPunct/>
        <w:topLinePunct w:val="0"/>
        <w:autoSpaceDE w:val="0"/>
        <w:autoSpaceDN w:val="0"/>
        <w:bidi w:val="0"/>
        <w:adjustRightInd/>
        <w:snapToGrid/>
        <w:spacing w:line="360" w:lineRule="auto"/>
        <w:jc w:val="left"/>
        <w:textAlignment w:val="auto"/>
        <w:outlineLvl w:val="9"/>
        <w:rPr>
          <w:rFonts w:hint="eastAsia" w:asciiTheme="minorEastAsia" w:hAnsiTheme="minorEastAsia" w:cstheme="minorEastAsia"/>
          <w:szCs w:val="21"/>
        </w:rPr>
      </w:pPr>
      <w:bookmarkStart w:id="262" w:name="_Ref930379802"/>
      <w:r>
        <w:rPr>
          <w:rFonts w:hint="eastAsia" w:asciiTheme="minorEastAsia" w:hAnsiTheme="minorEastAsia" w:cstheme="minorEastAsia"/>
          <w:szCs w:val="21"/>
        </w:rPr>
        <w:t>李韶,梅王颖,唐玉环.传染病监测与疫情报告管理现状探讨[J].中国初级卫生保健2006(4):39.</w:t>
      </w:r>
      <w:bookmarkEnd w:id="262"/>
    </w:p>
    <w:p w14:paraId="66CEF1CE">
      <w:pPr>
        <w:keepNext w:val="0"/>
        <w:keepLines w:val="0"/>
        <w:pageBreakBefore w:val="0"/>
        <w:widowControl w:val="0"/>
        <w:numPr>
          <w:ilvl w:val="0"/>
          <w:numId w:val="1"/>
        </w:numPr>
        <w:kinsoku/>
        <w:wordWrap w:val="0"/>
        <w:overflowPunct/>
        <w:topLinePunct w:val="0"/>
        <w:autoSpaceDE w:val="0"/>
        <w:autoSpaceDN w:val="0"/>
        <w:bidi w:val="0"/>
        <w:adjustRightInd/>
        <w:snapToGrid/>
        <w:spacing w:line="360" w:lineRule="auto"/>
        <w:jc w:val="left"/>
        <w:textAlignment w:val="auto"/>
        <w:outlineLvl w:val="9"/>
        <w:rPr>
          <w:rFonts w:hint="eastAsia" w:asciiTheme="minorEastAsia" w:hAnsiTheme="minorEastAsia" w:cstheme="minorEastAsia"/>
          <w:szCs w:val="21"/>
        </w:rPr>
      </w:pPr>
      <w:bookmarkStart w:id="263" w:name="_Ref930497451"/>
      <w:r>
        <w:rPr>
          <w:rFonts w:hint="eastAsia" w:asciiTheme="minorEastAsia" w:hAnsiTheme="minorEastAsia" w:cstheme="minorEastAsia"/>
          <w:szCs w:val="21"/>
        </w:rPr>
        <w:t>杨桂松高炳涛,何杏宇,瞿国庆.融合 SEIR 与 LSTM 模型的传染病预测研究[J].小型微型计算机系统.2024-03-19.1980</w:t>
      </w:r>
      <w:bookmarkEnd w:id="263"/>
    </w:p>
    <w:p w14:paraId="4A5E65E0">
      <w:pPr>
        <w:spacing w:line="360" w:lineRule="auto"/>
        <w:outlineLvl w:val="0"/>
        <w:rPr>
          <w:rFonts w:hint="eastAsia" w:ascii="黑体" w:hAnsi="黑体" w:eastAsia="黑体" w:cs="黑体"/>
          <w:b/>
          <w:bCs/>
          <w:sz w:val="30"/>
          <w:szCs w:val="30"/>
        </w:rPr>
      </w:pPr>
    </w:p>
    <w:p w14:paraId="22772B80">
      <w:pPr>
        <w:spacing w:line="360" w:lineRule="auto"/>
        <w:jc w:val="center"/>
        <w:outlineLvl w:val="0"/>
        <w:rPr>
          <w:rFonts w:hint="eastAsia" w:ascii="黑体" w:hAnsi="黑体" w:eastAsia="黑体" w:cs="黑体"/>
          <w:b/>
          <w:bCs/>
          <w:sz w:val="28"/>
          <w:szCs w:val="28"/>
        </w:rPr>
      </w:pPr>
      <w:bookmarkStart w:id="264" w:name="_Toc1821135571"/>
      <w:r>
        <w:rPr>
          <w:rFonts w:hint="eastAsia" w:ascii="黑体" w:hAnsi="黑体" w:eastAsia="黑体" w:cs="黑体"/>
          <w:b/>
          <w:bCs/>
          <w:sz w:val="28"/>
          <w:szCs w:val="28"/>
        </w:rPr>
        <w:t>致</w:t>
      </w:r>
      <w:r>
        <w:rPr>
          <w:rFonts w:hint="eastAsia" w:ascii="黑体" w:hAnsi="黑体" w:eastAsia="黑体" w:cs="黑体"/>
          <w:b/>
          <w:bCs/>
          <w:sz w:val="28"/>
          <w:szCs w:val="28"/>
          <w:lang w:val="en-US" w:eastAsia="zh-CN"/>
        </w:rPr>
        <w:t xml:space="preserve">  </w:t>
      </w:r>
      <w:r>
        <w:rPr>
          <w:rFonts w:hint="eastAsia" w:ascii="黑体" w:hAnsi="黑体" w:eastAsia="黑体" w:cs="黑体"/>
          <w:b/>
          <w:bCs/>
          <w:sz w:val="28"/>
          <w:szCs w:val="28"/>
        </w:rPr>
        <w:t>谢</w:t>
      </w:r>
      <w:bookmarkEnd w:id="264"/>
    </w:p>
    <w:p w14:paraId="50CCA145"/>
    <w:p w14:paraId="5553B0C0">
      <w:pPr>
        <w:spacing w:line="360" w:lineRule="auto"/>
        <w:ind w:firstLine="480" w:firstLineChars="200"/>
        <w:jc w:val="left"/>
        <w:rPr>
          <w:rFonts w:hint="eastAsia" w:asciiTheme="minorEastAsia" w:hAnsiTheme="minorEastAsia" w:cstheme="minorEastAsia"/>
          <w:sz w:val="24"/>
        </w:rPr>
      </w:pPr>
      <w:r>
        <w:rPr>
          <w:rFonts w:hint="eastAsia" w:asciiTheme="minorEastAsia" w:hAnsiTheme="minorEastAsia" w:cstheme="minorEastAsia"/>
          <w:sz w:val="24"/>
        </w:rPr>
        <w:t>岁月如梭，光阴似箭，在我完成这篇论文的过程中，有太多人和事值得我去感激，是他们让我不断完善自我，超越自我，这段珍贵的经历里我收获了许多感悟和成长，在这里，我要向以下人员表示由衷感谢：</w:t>
      </w:r>
    </w:p>
    <w:p w14:paraId="06B0AA0B">
      <w:pPr>
        <w:spacing w:line="360" w:lineRule="auto"/>
        <w:ind w:firstLine="480" w:firstLineChars="200"/>
        <w:jc w:val="left"/>
        <w:rPr>
          <w:rFonts w:hint="eastAsia" w:asciiTheme="minorEastAsia" w:hAnsiTheme="minorEastAsia" w:cstheme="minorEastAsia"/>
          <w:sz w:val="24"/>
        </w:rPr>
      </w:pPr>
      <w:r>
        <w:rPr>
          <w:rFonts w:hint="eastAsia" w:asciiTheme="minorEastAsia" w:hAnsiTheme="minorEastAsia" w:cstheme="minorEastAsia"/>
          <w:sz w:val="24"/>
        </w:rPr>
        <w:t>首先我要感谢我的指导教师，感谢老师在整个研究过程中给予我无私的帮助和珍贵的意见，从论文选题到这篇论文体系的建立，每一步都离不开</w:t>
      </w:r>
      <w:bookmarkStart w:id="265" w:name="_GoBack"/>
      <w:bookmarkEnd w:id="265"/>
      <w:r>
        <w:rPr>
          <w:rFonts w:hint="eastAsia" w:asciiTheme="minorEastAsia" w:hAnsiTheme="minorEastAsia" w:cstheme="minorEastAsia"/>
          <w:sz w:val="24"/>
        </w:rPr>
        <w:t>老师的细心指导，老师的专业指导让我在学术道路上更加坚定。其次，我还要感谢我的家人和我的朋友，谢谢您们对我的关心和照顾，正是您们背后默默的陪伴和支持，让我在学术的道路上不断前行，坚毅往前。最后，感谢论文中引用的文献、报道、资料的作者，您们提供的数据和观点使我的研究更全面和深入。</w:t>
      </w:r>
    </w:p>
    <w:p w14:paraId="427817E0">
      <w:pPr>
        <w:spacing w:line="360" w:lineRule="auto"/>
        <w:ind w:firstLine="480" w:firstLineChars="200"/>
        <w:jc w:val="left"/>
        <w:rPr>
          <w:rFonts w:hint="eastAsia" w:asciiTheme="minorEastAsia" w:hAnsiTheme="minorEastAsia" w:cstheme="minorEastAsia"/>
          <w:sz w:val="24"/>
        </w:rPr>
      </w:pPr>
      <w:r>
        <w:rPr>
          <w:rFonts w:hint="eastAsia" w:asciiTheme="minorEastAsia" w:hAnsiTheme="minorEastAsia" w:cstheme="minorEastAsia"/>
          <w:sz w:val="24"/>
        </w:rPr>
        <w:t>非常感激在完成这篇论文的过程中，大家给予我的众多支持和帮助，最后再次向以上人员致以我最诚挚的感谢与祝福！</w:t>
      </w:r>
    </w:p>
    <w:p w14:paraId="1438C8D7">
      <w:pPr>
        <w:spacing w:line="360" w:lineRule="auto"/>
        <w:ind w:firstLine="480" w:firstLineChars="200"/>
        <w:jc w:val="left"/>
        <w:rPr>
          <w:rFonts w:hint="eastAsia" w:asciiTheme="minorEastAsia" w:hAnsiTheme="minorEastAsia" w:cstheme="minorEastAsia"/>
          <w:sz w:val="24"/>
        </w:rPr>
      </w:pPr>
    </w:p>
    <w:sectPr>
      <w:headerReference r:id="rId5" w:type="default"/>
      <w:footerReference r:id="rId6"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Calibri Light">
    <w:altName w:val="Helvetica Neue"/>
    <w:panose1 w:val="020F0302020204030204"/>
    <w:charset w:val="00"/>
    <w:family w:val="swiss"/>
    <w:pitch w:val="default"/>
    <w:sig w:usb0="00000000" w:usb1="00000000" w:usb2="00000009" w:usb3="00000000" w:csb0="000001FF" w:csb1="00000000"/>
  </w:font>
  <w:font w:name="Cambria">
    <w:altName w:val="苹方-简"/>
    <w:panose1 w:val="02040503050406030204"/>
    <w:charset w:val="00"/>
    <w:family w:val="roman"/>
    <w:pitch w:val="default"/>
    <w:sig w:usb0="00000000" w:usb1="00000000" w:usb2="02000000" w:usb3="00000000" w:csb0="0000019F" w:csb1="00000000"/>
  </w:font>
  <w:font w:name="楷体_GB2312">
    <w:altName w:val="汉仪楷体简"/>
    <w:panose1 w:val="00000000000000000000"/>
    <w:charset w:val="86"/>
    <w:family w:val="modern"/>
    <w:pitch w:val="default"/>
    <w:sig w:usb0="00000000" w:usb1="00000000" w:usb2="00000010" w:usb3="00000000" w:csb0="00040000" w:csb1="00000000"/>
  </w:font>
  <w:font w:name="Heiti SC Light">
    <w:panose1 w:val="02000000000000000000"/>
    <w:charset w:val="86"/>
    <w:family w:val="auto"/>
    <w:pitch w:val="default"/>
    <w:sig w:usb0="8000002F" w:usb1="0800004A" w:usb2="00000000" w:usb3="00000000" w:csb0="203E0000" w:csb1="00000000"/>
  </w:font>
  <w:font w:name="Times New Roman Bold">
    <w:panose1 w:val="02020503050405090304"/>
    <w:charset w:val="00"/>
    <w:family w:val="auto"/>
    <w:pitch w:val="default"/>
    <w:sig w:usb0="E0000AFF" w:usb1="00007843" w:usb2="00000001" w:usb3="00000000" w:csb0="400001BF" w:csb1="DFF70000"/>
  </w:font>
  <w:font w:name="PingFang SC">
    <w:panose1 w:val="020B0400000000000000"/>
    <w:charset w:val="86"/>
    <w:family w:val="auto"/>
    <w:pitch w:val="default"/>
    <w:sig w:usb0="A00002FF" w:usb1="7ACFFDFB" w:usb2="00000017" w:usb3="00000000" w:csb0="00040001" w:csb1="00000000"/>
  </w:font>
  <w:font w:name="Times New Roman Regular">
    <w:panose1 w:val="02020503050405090304"/>
    <w:charset w:val="00"/>
    <w:family w:val="auto"/>
    <w:pitch w:val="default"/>
    <w:sig w:usb0="E0000AFF" w:usb1="00007843" w:usb2="00000001" w:usb3="00000000" w:csb0="400001BF" w:csb1="DFF7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苹方-简">
    <w:panose1 w:val="020B0400000000000000"/>
    <w:charset w:val="86"/>
    <w:family w:val="auto"/>
    <w:pitch w:val="default"/>
    <w:sig w:usb0="A00002FF" w:usb1="7ACFFDFB" w:usb2="00000017" w:usb3="00000000" w:csb0="00040001" w:csb1="00000000"/>
  </w:font>
  <w:font w:name="汉仪中黑KW">
    <w:panose1 w:val="00020600040101010101"/>
    <w:charset w:val="86"/>
    <w:family w:val="auto"/>
    <w:pitch w:val="default"/>
    <w:sig w:usb0="A00002BF" w:usb1="18EF7CFA" w:usb2="00000016" w:usb3="00000000" w:csb0="00040000" w:csb1="00000000"/>
  </w:font>
  <w:font w:name="汉仪楷体简">
    <w:panose1 w:val="02010600000101010101"/>
    <w:charset w:val="86"/>
    <w:family w:val="auto"/>
    <w:pitch w:val="default"/>
    <w:sig w:usb0="00000001" w:usb1="080E0800" w:usb2="00000002" w:usb3="00000000" w:csb0="00040000" w:csb1="00000000"/>
  </w:font>
  <w:font w:name="宋体-简">
    <w:panose1 w:val="02010800040101010101"/>
    <w:charset w:val="86"/>
    <w:family w:val="auto"/>
    <w:pitch w:val="default"/>
    <w:sig w:usb0="00000001" w:usb1="080F0000" w:usb2="00000000" w:usb3="00000000" w:csb0="00040000" w:csb1="00000000"/>
  </w:font>
  <w:font w:name="Kingsoft Sign">
    <w:panose1 w:val="05050102010706020507"/>
    <w:charset w:val="00"/>
    <w:family w:val="auto"/>
    <w:pitch w:val="default"/>
    <w:sig w:usb0="00000000" w:usb1="10000000" w:usb2="00000000" w:usb3="00000000" w:csb0="00000001" w:csb1="00000000"/>
  </w:font>
  <w:font w:name="Nanum Myeongjo">
    <w:panose1 w:val="02020603020101020101"/>
    <w:charset w:val="81"/>
    <w:family w:val="auto"/>
    <w:pitch w:val="default"/>
    <w:sig w:usb0="800002A7" w:usb1="01D7FCFB" w:usb2="00000010"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A0535F">
    <w:pPr>
      <w:pStyle w:val="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C6141B">
                          <w:pPr>
                            <w:pStyle w:val="7"/>
                            <w:rPr>
                              <w:rFonts w:hint="eastAsia" w:asciiTheme="minorEastAsia" w:hAnsiTheme="minorEastAsia" w:cstheme="minorEastAsia"/>
                              <w:sz w:val="21"/>
                              <w:szCs w:val="21"/>
                            </w:rPr>
                          </w:pPr>
                          <w:r>
                            <w:rPr>
                              <w:rFonts w:hint="eastAsia" w:asciiTheme="minorEastAsia" w:hAnsiTheme="minorEastAsia" w:cstheme="minorEastAsia"/>
                              <w:sz w:val="21"/>
                              <w:szCs w:val="21"/>
                            </w:rPr>
                            <w:fldChar w:fldCharType="begin"/>
                          </w:r>
                          <w:r>
                            <w:rPr>
                              <w:rFonts w:hint="eastAsia" w:asciiTheme="minorEastAsia" w:hAnsiTheme="minorEastAsia" w:cstheme="minorEastAsia"/>
                              <w:sz w:val="21"/>
                              <w:szCs w:val="21"/>
                            </w:rPr>
                            <w:instrText xml:space="preserve"> PAGE  \* MERGEFORMAT </w:instrText>
                          </w:r>
                          <w:r>
                            <w:rPr>
                              <w:rFonts w:hint="eastAsia" w:asciiTheme="minorEastAsia" w:hAnsiTheme="minorEastAsia" w:cstheme="minorEastAsia"/>
                              <w:sz w:val="21"/>
                              <w:szCs w:val="21"/>
                            </w:rPr>
                            <w:fldChar w:fldCharType="separate"/>
                          </w:r>
                          <w:r>
                            <w:rPr>
                              <w:rFonts w:hint="eastAsia" w:asciiTheme="minorEastAsia" w:hAnsiTheme="minorEastAsia" w:cstheme="minorEastAsia"/>
                              <w:sz w:val="21"/>
                              <w:szCs w:val="21"/>
                            </w:rPr>
                            <w:t>1</w:t>
                          </w:r>
                          <w:r>
                            <w:rPr>
                              <w:rFonts w:hint="eastAsia" w:asciiTheme="minorEastAsia" w:hAnsiTheme="minorEastAsia" w:cstheme="minorEastAsia"/>
                              <w:sz w:val="21"/>
                              <w:szCs w:val="2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2EC6141B">
                    <w:pPr>
                      <w:pStyle w:val="7"/>
                      <w:rPr>
                        <w:rFonts w:hint="eastAsia" w:asciiTheme="minorEastAsia" w:hAnsiTheme="minorEastAsia" w:cstheme="minorEastAsia"/>
                        <w:sz w:val="21"/>
                        <w:szCs w:val="21"/>
                      </w:rPr>
                    </w:pPr>
                    <w:r>
                      <w:rPr>
                        <w:rFonts w:hint="eastAsia" w:asciiTheme="minorEastAsia" w:hAnsiTheme="minorEastAsia" w:cstheme="minorEastAsia"/>
                        <w:sz w:val="21"/>
                        <w:szCs w:val="21"/>
                      </w:rPr>
                      <w:fldChar w:fldCharType="begin"/>
                    </w:r>
                    <w:r>
                      <w:rPr>
                        <w:rFonts w:hint="eastAsia" w:asciiTheme="minorEastAsia" w:hAnsiTheme="minorEastAsia" w:cstheme="minorEastAsia"/>
                        <w:sz w:val="21"/>
                        <w:szCs w:val="21"/>
                      </w:rPr>
                      <w:instrText xml:space="preserve"> PAGE  \* MERGEFORMAT </w:instrText>
                    </w:r>
                    <w:r>
                      <w:rPr>
                        <w:rFonts w:hint="eastAsia" w:asciiTheme="minorEastAsia" w:hAnsiTheme="minorEastAsia" w:cstheme="minorEastAsia"/>
                        <w:sz w:val="21"/>
                        <w:szCs w:val="21"/>
                      </w:rPr>
                      <w:fldChar w:fldCharType="separate"/>
                    </w:r>
                    <w:r>
                      <w:rPr>
                        <w:rFonts w:hint="eastAsia" w:asciiTheme="minorEastAsia" w:hAnsiTheme="minorEastAsia" w:cstheme="minorEastAsia"/>
                        <w:sz w:val="21"/>
                        <w:szCs w:val="21"/>
                      </w:rPr>
                      <w:t>1</w:t>
                    </w:r>
                    <w:r>
                      <w:rPr>
                        <w:rFonts w:hint="eastAsia" w:asciiTheme="minorEastAsia" w:hAnsiTheme="minorEastAsia" w:cstheme="minorEastAsia"/>
                        <w:sz w:val="21"/>
                        <w:szCs w:val="21"/>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96FE94">
    <w:pPr>
      <w:pStyle w:val="7"/>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0F3CCC">
                          <w:pPr>
                            <w:pStyle w:val="7"/>
                            <w:rPr>
                              <w:rFonts w:hint="eastAsia" w:asciiTheme="minorEastAsia" w:hAnsiTheme="minorEastAsia" w:cstheme="minorEastAsia"/>
                              <w:sz w:val="21"/>
                              <w:szCs w:val="21"/>
                            </w:rPr>
                          </w:pPr>
                          <w:r>
                            <w:rPr>
                              <w:rFonts w:hint="eastAsia" w:asciiTheme="minorEastAsia" w:hAnsiTheme="minorEastAsia" w:cstheme="minorEastAsia"/>
                              <w:sz w:val="21"/>
                              <w:szCs w:val="21"/>
                            </w:rPr>
                            <w:fldChar w:fldCharType="begin"/>
                          </w:r>
                          <w:r>
                            <w:rPr>
                              <w:rFonts w:hint="eastAsia" w:asciiTheme="minorEastAsia" w:hAnsiTheme="minorEastAsia" w:cstheme="minorEastAsia"/>
                              <w:sz w:val="21"/>
                              <w:szCs w:val="21"/>
                            </w:rPr>
                            <w:instrText xml:space="preserve"> PAGE  \* MERGEFORMAT </w:instrText>
                          </w:r>
                          <w:r>
                            <w:rPr>
                              <w:rFonts w:hint="eastAsia" w:asciiTheme="minorEastAsia" w:hAnsiTheme="minorEastAsia" w:cstheme="minorEastAsia"/>
                              <w:sz w:val="21"/>
                              <w:szCs w:val="21"/>
                            </w:rPr>
                            <w:fldChar w:fldCharType="separate"/>
                          </w:r>
                          <w:r>
                            <w:rPr>
                              <w:rFonts w:hint="eastAsia" w:asciiTheme="minorEastAsia" w:hAnsiTheme="minorEastAsia" w:cstheme="minorEastAsia"/>
                              <w:sz w:val="21"/>
                              <w:szCs w:val="21"/>
                            </w:rPr>
                            <w:t>1</w:t>
                          </w:r>
                          <w:r>
                            <w:rPr>
                              <w:rFonts w:hint="eastAsia" w:asciiTheme="minorEastAsia" w:hAnsiTheme="minorEastAsia" w:cstheme="minorEastAsia"/>
                              <w:sz w:val="21"/>
                              <w:szCs w:val="2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540F3CCC">
                    <w:pPr>
                      <w:pStyle w:val="7"/>
                      <w:rPr>
                        <w:rFonts w:hint="eastAsia" w:asciiTheme="minorEastAsia" w:hAnsiTheme="minorEastAsia" w:cstheme="minorEastAsia"/>
                        <w:sz w:val="21"/>
                        <w:szCs w:val="21"/>
                      </w:rPr>
                    </w:pPr>
                    <w:r>
                      <w:rPr>
                        <w:rFonts w:hint="eastAsia" w:asciiTheme="minorEastAsia" w:hAnsiTheme="minorEastAsia" w:cstheme="minorEastAsia"/>
                        <w:sz w:val="21"/>
                        <w:szCs w:val="21"/>
                      </w:rPr>
                      <w:fldChar w:fldCharType="begin"/>
                    </w:r>
                    <w:r>
                      <w:rPr>
                        <w:rFonts w:hint="eastAsia" w:asciiTheme="minorEastAsia" w:hAnsiTheme="minorEastAsia" w:cstheme="minorEastAsia"/>
                        <w:sz w:val="21"/>
                        <w:szCs w:val="21"/>
                      </w:rPr>
                      <w:instrText xml:space="preserve"> PAGE  \* MERGEFORMAT </w:instrText>
                    </w:r>
                    <w:r>
                      <w:rPr>
                        <w:rFonts w:hint="eastAsia" w:asciiTheme="minorEastAsia" w:hAnsiTheme="minorEastAsia" w:cstheme="minorEastAsia"/>
                        <w:sz w:val="21"/>
                        <w:szCs w:val="21"/>
                      </w:rPr>
                      <w:fldChar w:fldCharType="separate"/>
                    </w:r>
                    <w:r>
                      <w:rPr>
                        <w:rFonts w:hint="eastAsia" w:asciiTheme="minorEastAsia" w:hAnsiTheme="minorEastAsia" w:cstheme="minorEastAsia"/>
                        <w:sz w:val="21"/>
                        <w:szCs w:val="21"/>
                      </w:rPr>
                      <w:t>1</w:t>
                    </w:r>
                    <w:r>
                      <w:rPr>
                        <w:rFonts w:hint="eastAsia" w:asciiTheme="minorEastAsia" w:hAnsiTheme="minorEastAsia" w:cstheme="minorEastAsia"/>
                        <w:sz w:val="21"/>
                        <w:szCs w:val="21"/>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17B114">
    <w:pPr>
      <w:pStyle w:val="8"/>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B9F5C2">
    <w:pPr>
      <w:pStyle w:val="8"/>
    </w:pPr>
    <w:r>
      <w:rPr>
        <w:rFonts w:hint="eastAsia" w:asciiTheme="majorEastAsia" w:hAnsiTheme="majorEastAsia" w:eastAsiaTheme="majorEastAsia" w:cstheme="majorEastAsia"/>
        <w:sz w:val="21"/>
        <w:szCs w:val="21"/>
      </w:rPr>
      <w:t>广东创新科技职业学院2022届毕业论文</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EEF16C7"/>
    <w:multiLevelType w:val="singleLevel"/>
    <w:tmpl w:val="FEEF16C7"/>
    <w:lvl w:ilvl="0" w:tentative="0">
      <w:start w:val="1"/>
      <w:numFmt w:val="decimal"/>
      <w:lvlText w:val="[%1]"/>
      <w:lvlJc w:val="left"/>
      <w:pPr>
        <w:tabs>
          <w:tab w:val="left" w:pos="420"/>
        </w:tabs>
        <w:ind w:left="425" w:hanging="425"/>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BF7C8C1"/>
    <w:rsid w:val="00010053"/>
    <w:rsid w:val="000B227F"/>
    <w:rsid w:val="001C2EBA"/>
    <w:rsid w:val="001E5A91"/>
    <w:rsid w:val="003644B0"/>
    <w:rsid w:val="00372A9F"/>
    <w:rsid w:val="003C3A3D"/>
    <w:rsid w:val="004625B1"/>
    <w:rsid w:val="00492BBB"/>
    <w:rsid w:val="00495C5F"/>
    <w:rsid w:val="004972E4"/>
    <w:rsid w:val="004B2209"/>
    <w:rsid w:val="004C0594"/>
    <w:rsid w:val="00555CD8"/>
    <w:rsid w:val="005E3713"/>
    <w:rsid w:val="00712A3B"/>
    <w:rsid w:val="00766719"/>
    <w:rsid w:val="0078130F"/>
    <w:rsid w:val="00784E72"/>
    <w:rsid w:val="008E3368"/>
    <w:rsid w:val="00945B9A"/>
    <w:rsid w:val="00A66500"/>
    <w:rsid w:val="00AE0FA3"/>
    <w:rsid w:val="00B508C2"/>
    <w:rsid w:val="00BB117A"/>
    <w:rsid w:val="00CC495F"/>
    <w:rsid w:val="00D65E7C"/>
    <w:rsid w:val="00D665AD"/>
    <w:rsid w:val="00E86973"/>
    <w:rsid w:val="00EA4888"/>
    <w:rsid w:val="00F03217"/>
    <w:rsid w:val="00F90263"/>
    <w:rsid w:val="05D84E57"/>
    <w:rsid w:val="0B75067F"/>
    <w:rsid w:val="0C637445"/>
    <w:rsid w:val="0E016F15"/>
    <w:rsid w:val="0EDE1FCE"/>
    <w:rsid w:val="118714DF"/>
    <w:rsid w:val="144452A5"/>
    <w:rsid w:val="17FB667B"/>
    <w:rsid w:val="185760AF"/>
    <w:rsid w:val="1BF7C8C1"/>
    <w:rsid w:val="1C4E7894"/>
    <w:rsid w:val="201C7BDE"/>
    <w:rsid w:val="21B96D68"/>
    <w:rsid w:val="23103A2A"/>
    <w:rsid w:val="2601765A"/>
    <w:rsid w:val="275B723E"/>
    <w:rsid w:val="28754330"/>
    <w:rsid w:val="31896DCB"/>
    <w:rsid w:val="34CC177B"/>
    <w:rsid w:val="396B440D"/>
    <w:rsid w:val="3B583D69"/>
    <w:rsid w:val="42B21FB1"/>
    <w:rsid w:val="49431BB4"/>
    <w:rsid w:val="499A379E"/>
    <w:rsid w:val="4DB74479"/>
    <w:rsid w:val="515626A1"/>
    <w:rsid w:val="54D264E2"/>
    <w:rsid w:val="564927D4"/>
    <w:rsid w:val="56CA56C3"/>
    <w:rsid w:val="5FA8056B"/>
    <w:rsid w:val="63D538F9"/>
    <w:rsid w:val="6416019A"/>
    <w:rsid w:val="69DD3507"/>
    <w:rsid w:val="6C1A459F"/>
    <w:rsid w:val="6F6D0E8A"/>
    <w:rsid w:val="704936A5"/>
    <w:rsid w:val="72FD2285"/>
    <w:rsid w:val="75377F70"/>
    <w:rsid w:val="7C5C4760"/>
    <w:rsid w:val="7E71CBCA"/>
    <w:rsid w:val="7EDE599D"/>
    <w:rsid w:val="7F084409"/>
    <w:rsid w:val="7F6C2F0C"/>
    <w:rsid w:val="9FFF59B9"/>
    <w:rsid w:val="BCC7711F"/>
    <w:rsid w:val="BF7F66C7"/>
    <w:rsid w:val="CFF5F4E8"/>
    <w:rsid w:val="DDCD7915"/>
    <w:rsid w:val="DFD35D62"/>
    <w:rsid w:val="EEFFEAD6"/>
    <w:rsid w:val="F3BF8D9E"/>
    <w:rsid w:val="FDEEED2B"/>
    <w:rsid w:val="FF3F53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8"/>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19"/>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4">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4">
    <w:name w:val="caption"/>
    <w:basedOn w:val="1"/>
    <w:next w:val="1"/>
    <w:semiHidden/>
    <w:unhideWhenUsed/>
    <w:qFormat/>
    <w:uiPriority w:val="0"/>
    <w:rPr>
      <w:rFonts w:ascii="Arial" w:hAnsi="Arial" w:eastAsia="黑体"/>
      <w:sz w:val="20"/>
    </w:rPr>
  </w:style>
  <w:style w:type="paragraph" w:styleId="5">
    <w:name w:val="toc 3"/>
    <w:basedOn w:val="1"/>
    <w:next w:val="1"/>
    <w:qFormat/>
    <w:uiPriority w:val="0"/>
    <w:pPr>
      <w:ind w:left="840" w:leftChars="400"/>
    </w:pPr>
  </w:style>
  <w:style w:type="paragraph" w:styleId="6">
    <w:name w:val="Date"/>
    <w:basedOn w:val="1"/>
    <w:next w:val="1"/>
    <w:link w:val="20"/>
    <w:qFormat/>
    <w:uiPriority w:val="0"/>
    <w:pPr>
      <w:ind w:left="100" w:leftChars="2500"/>
    </w:pPr>
  </w:style>
  <w:style w:type="paragraph" w:styleId="7">
    <w:name w:val="footer"/>
    <w:basedOn w:val="1"/>
    <w:link w:val="17"/>
    <w:qFormat/>
    <w:uiPriority w:val="0"/>
    <w:pPr>
      <w:tabs>
        <w:tab w:val="center" w:pos="4153"/>
        <w:tab w:val="right" w:pos="8306"/>
      </w:tabs>
      <w:snapToGrid w:val="0"/>
      <w:jc w:val="left"/>
    </w:pPr>
    <w:rPr>
      <w:sz w:val="18"/>
      <w:szCs w:val="18"/>
    </w:rPr>
  </w:style>
  <w:style w:type="paragraph" w:styleId="8">
    <w:name w:val="header"/>
    <w:basedOn w:val="1"/>
    <w:link w:val="16"/>
    <w:qFormat/>
    <w:uiPriority w:val="0"/>
    <w:pPr>
      <w:tabs>
        <w:tab w:val="center" w:pos="4153"/>
        <w:tab w:val="right" w:pos="8306"/>
      </w:tabs>
      <w:snapToGrid w:val="0"/>
      <w:jc w:val="center"/>
    </w:pPr>
    <w:rPr>
      <w:sz w:val="18"/>
      <w:szCs w:val="18"/>
    </w:rPr>
  </w:style>
  <w:style w:type="paragraph" w:styleId="9">
    <w:name w:val="toc 1"/>
    <w:basedOn w:val="1"/>
    <w:next w:val="1"/>
    <w:qFormat/>
    <w:uiPriority w:val="0"/>
  </w:style>
  <w:style w:type="paragraph" w:styleId="10">
    <w:name w:val="toc 2"/>
    <w:basedOn w:val="1"/>
    <w:next w:val="1"/>
    <w:qFormat/>
    <w:uiPriority w:val="0"/>
    <w:pPr>
      <w:ind w:left="420" w:leftChars="200"/>
    </w:pPr>
  </w:style>
  <w:style w:type="paragraph" w:styleId="11">
    <w:name w:val="Normal (Web)"/>
    <w:basedOn w:val="1"/>
    <w:qFormat/>
    <w:uiPriority w:val="0"/>
    <w:rPr>
      <w:sz w:val="24"/>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0"/>
    <w:rPr>
      <w:b/>
    </w:rPr>
  </w:style>
  <w:style w:type="character" w:customStyle="1" w:styleId="16">
    <w:name w:val="页眉 字符"/>
    <w:basedOn w:val="14"/>
    <w:link w:val="8"/>
    <w:qFormat/>
    <w:uiPriority w:val="0"/>
    <w:rPr>
      <w:rFonts w:asciiTheme="minorHAnsi" w:hAnsiTheme="minorHAnsi" w:eastAsiaTheme="minorEastAsia" w:cstheme="minorBidi"/>
      <w:kern w:val="2"/>
      <w:sz w:val="18"/>
      <w:szCs w:val="18"/>
    </w:rPr>
  </w:style>
  <w:style w:type="character" w:customStyle="1" w:styleId="17">
    <w:name w:val="页脚 字符"/>
    <w:basedOn w:val="14"/>
    <w:link w:val="7"/>
    <w:qFormat/>
    <w:uiPriority w:val="0"/>
    <w:rPr>
      <w:rFonts w:asciiTheme="minorHAnsi" w:hAnsiTheme="minorHAnsi" w:eastAsiaTheme="minorEastAsia" w:cstheme="minorBidi"/>
      <w:kern w:val="2"/>
      <w:sz w:val="18"/>
      <w:szCs w:val="18"/>
    </w:rPr>
  </w:style>
  <w:style w:type="character" w:customStyle="1" w:styleId="18">
    <w:name w:val="标题 1 字符"/>
    <w:basedOn w:val="14"/>
    <w:link w:val="2"/>
    <w:qFormat/>
    <w:uiPriority w:val="0"/>
    <w:rPr>
      <w:rFonts w:asciiTheme="minorHAnsi" w:hAnsiTheme="minorHAnsi" w:eastAsiaTheme="minorEastAsia" w:cstheme="minorBidi"/>
      <w:b/>
      <w:bCs/>
      <w:kern w:val="44"/>
      <w:sz w:val="44"/>
      <w:szCs w:val="44"/>
    </w:rPr>
  </w:style>
  <w:style w:type="character" w:customStyle="1" w:styleId="19">
    <w:name w:val="标题 2 字符"/>
    <w:basedOn w:val="14"/>
    <w:link w:val="3"/>
    <w:qFormat/>
    <w:uiPriority w:val="0"/>
    <w:rPr>
      <w:rFonts w:asciiTheme="majorHAnsi" w:hAnsiTheme="majorHAnsi" w:eastAsiaTheme="majorEastAsia" w:cstheme="majorBidi"/>
      <w:b/>
      <w:bCs/>
      <w:kern w:val="2"/>
      <w:sz w:val="32"/>
      <w:szCs w:val="32"/>
    </w:rPr>
  </w:style>
  <w:style w:type="character" w:customStyle="1" w:styleId="20">
    <w:name w:val="日期 字符"/>
    <w:basedOn w:val="14"/>
    <w:link w:val="6"/>
    <w:qFormat/>
    <w:uiPriority w:val="0"/>
    <w:rPr>
      <w:rFonts w:asciiTheme="minorHAnsi" w:hAnsiTheme="minorHAnsi" w:eastAsiaTheme="minorEastAsia" w:cstheme="minorBidi"/>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oleObject" Target="embeddings/oleObject1.bin"/><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5.png"/><Relationship Id="rId13" Type="http://schemas.openxmlformats.org/officeDocument/2006/relationships/chart" Target="charts/chart1.xml"/><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24037;&#20316;&#31807;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[工作簿1]Sheet1!$H$3</c:f>
              <c:strCache>
                <c:ptCount val="1"/>
                <c:pt idx="0">
                  <c:v>最高气温（℃）</c:v>
                </c:pt>
              </c:strCache>
            </c:strRef>
          </c:tx>
          <c:spPr>
            <a:ln w="12700" cap="rnd">
              <a:solidFill>
                <a:schemeClr val="tx1"/>
              </a:solidFill>
              <a:round/>
              <a:headEnd type="diamond"/>
              <a:tailEnd type="diamond"/>
            </a:ln>
            <a:effectLst/>
          </c:spPr>
          <c:marker>
            <c:symbol val="none"/>
          </c:marker>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[工作簿1]Sheet1!$I$2:$Y$2</c:f>
              <c:numCache>
                <c:formatCode>m"月"d"日"</c:formatCode>
                <c:ptCount val="17"/>
                <c:pt idx="0" c:formatCode="m&quot;月&quot;d&quot;日&quot;">
                  <c:v>45741</c:v>
                </c:pt>
                <c:pt idx="1" c:formatCode="m&quot;月&quot;d&quot;日&quot;">
                  <c:v>45742</c:v>
                </c:pt>
                <c:pt idx="2" c:formatCode="m&quot;月&quot;d&quot;日&quot;">
                  <c:v>45743</c:v>
                </c:pt>
                <c:pt idx="3" c:formatCode="m&quot;月&quot;d&quot;日&quot;">
                  <c:v>45744</c:v>
                </c:pt>
                <c:pt idx="4" c:formatCode="m&quot;月&quot;d&quot;日&quot;">
                  <c:v>45745</c:v>
                </c:pt>
                <c:pt idx="5" c:formatCode="m&quot;月&quot;d&quot;日&quot;">
                  <c:v>45746</c:v>
                </c:pt>
                <c:pt idx="6" c:formatCode="m&quot;月&quot;d&quot;日&quot;">
                  <c:v>45747</c:v>
                </c:pt>
                <c:pt idx="7" c:formatCode="m&quot;月&quot;d&quot;日&quot;">
                  <c:v>45748</c:v>
                </c:pt>
                <c:pt idx="8" c:formatCode="m&quot;月&quot;d&quot;日&quot;">
                  <c:v>45749</c:v>
                </c:pt>
                <c:pt idx="9" c:formatCode="m&quot;月&quot;d&quot;日&quot;">
                  <c:v>45750</c:v>
                </c:pt>
                <c:pt idx="10" c:formatCode="m&quot;月&quot;d&quot;日&quot;">
                  <c:v>45751</c:v>
                </c:pt>
                <c:pt idx="11" c:formatCode="m&quot;月&quot;d&quot;日&quot;">
                  <c:v>45752</c:v>
                </c:pt>
                <c:pt idx="12" c:formatCode="m&quot;月&quot;d&quot;日&quot;">
                  <c:v>45753</c:v>
                </c:pt>
                <c:pt idx="13" c:formatCode="m&quot;月&quot;d&quot;日&quot;">
                  <c:v>45754</c:v>
                </c:pt>
                <c:pt idx="14" c:formatCode="m&quot;月&quot;d&quot;日&quot;">
                  <c:v>45755</c:v>
                </c:pt>
                <c:pt idx="15" c:formatCode="m&quot;月&quot;d&quot;日&quot;">
                  <c:v>45756</c:v>
                </c:pt>
                <c:pt idx="16" c:formatCode="m&quot;月&quot;d&quot;日&quot;">
                  <c:v>45757</c:v>
                </c:pt>
              </c:numCache>
            </c:numRef>
          </c:cat>
          <c:val>
            <c:numRef>
              <c:f>[工作簿1]Sheet1!$I$3:$Y$3</c:f>
              <c:numCache>
                <c:formatCode>General</c:formatCode>
                <c:ptCount val="17"/>
                <c:pt idx="0">
                  <c:v>38</c:v>
                </c:pt>
                <c:pt idx="1">
                  <c:v>39</c:v>
                </c:pt>
                <c:pt idx="2">
                  <c:v>39</c:v>
                </c:pt>
                <c:pt idx="3">
                  <c:v>41</c:v>
                </c:pt>
                <c:pt idx="4">
                  <c:v>42</c:v>
                </c:pt>
                <c:pt idx="5">
                  <c:v>42</c:v>
                </c:pt>
                <c:pt idx="6">
                  <c:v>41</c:v>
                </c:pt>
                <c:pt idx="7">
                  <c:v>40</c:v>
                </c:pt>
                <c:pt idx="8">
                  <c:v>41</c:v>
                </c:pt>
                <c:pt idx="9">
                  <c:v>42</c:v>
                </c:pt>
                <c:pt idx="10">
                  <c:v>41</c:v>
                </c:pt>
                <c:pt idx="11">
                  <c:v>40</c:v>
                </c:pt>
                <c:pt idx="12">
                  <c:v>40</c:v>
                </c:pt>
                <c:pt idx="13">
                  <c:v>34</c:v>
                </c:pt>
                <c:pt idx="14">
                  <c:v>37</c:v>
                </c:pt>
                <c:pt idx="15">
                  <c:v>40</c:v>
                </c:pt>
                <c:pt idx="16">
                  <c:v>39</c:v>
                </c:pt>
              </c:numCache>
            </c:numRef>
          </c:val>
          <c:smooth val="0"/>
        </c:ser>
        <c:ser>
          <c:idx val="1"/>
          <c:order val="1"/>
          <c:tx>
            <c:strRef>
              <c:f>[工作簿1]Sheet1!$H$4</c:f>
              <c:strCache>
                <c:ptCount val="1"/>
                <c:pt idx="0">
                  <c:v>最低气温（℃）</c:v>
                </c:pt>
              </c:strCache>
            </c:strRef>
          </c:tx>
          <c:spPr>
            <a:ln w="12700" cap="rnd">
              <a:solidFill>
                <a:schemeClr val="tx1"/>
              </a:solidFill>
              <a:miter lim="800000"/>
              <a:headEnd type="oval"/>
              <a:tailEnd type="oval"/>
            </a:ln>
            <a:effectLst/>
          </c:spPr>
          <c:marker>
            <c:symbol val="none"/>
          </c:marker>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[工作簿1]Sheet1!$I$2:$Y$2</c:f>
              <c:numCache>
                <c:formatCode>m"月"d"日"</c:formatCode>
                <c:ptCount val="17"/>
                <c:pt idx="0" c:formatCode="m&quot;月&quot;d&quot;日&quot;">
                  <c:v>45741</c:v>
                </c:pt>
                <c:pt idx="1" c:formatCode="m&quot;月&quot;d&quot;日&quot;">
                  <c:v>45742</c:v>
                </c:pt>
                <c:pt idx="2" c:formatCode="m&quot;月&quot;d&quot;日&quot;">
                  <c:v>45743</c:v>
                </c:pt>
                <c:pt idx="3" c:formatCode="m&quot;月&quot;d&quot;日&quot;">
                  <c:v>45744</c:v>
                </c:pt>
                <c:pt idx="4" c:formatCode="m&quot;月&quot;d&quot;日&quot;">
                  <c:v>45745</c:v>
                </c:pt>
                <c:pt idx="5" c:formatCode="m&quot;月&quot;d&quot;日&quot;">
                  <c:v>45746</c:v>
                </c:pt>
                <c:pt idx="6" c:formatCode="m&quot;月&quot;d&quot;日&quot;">
                  <c:v>45747</c:v>
                </c:pt>
                <c:pt idx="7" c:formatCode="m&quot;月&quot;d&quot;日&quot;">
                  <c:v>45748</c:v>
                </c:pt>
                <c:pt idx="8" c:formatCode="m&quot;月&quot;d&quot;日&quot;">
                  <c:v>45749</c:v>
                </c:pt>
                <c:pt idx="9" c:formatCode="m&quot;月&quot;d&quot;日&quot;">
                  <c:v>45750</c:v>
                </c:pt>
                <c:pt idx="10" c:formatCode="m&quot;月&quot;d&quot;日&quot;">
                  <c:v>45751</c:v>
                </c:pt>
                <c:pt idx="11" c:formatCode="m&quot;月&quot;d&quot;日&quot;">
                  <c:v>45752</c:v>
                </c:pt>
                <c:pt idx="12" c:formatCode="m&quot;月&quot;d&quot;日&quot;">
                  <c:v>45753</c:v>
                </c:pt>
                <c:pt idx="13" c:formatCode="m&quot;月&quot;d&quot;日&quot;">
                  <c:v>45754</c:v>
                </c:pt>
                <c:pt idx="14" c:formatCode="m&quot;月&quot;d&quot;日&quot;">
                  <c:v>45755</c:v>
                </c:pt>
                <c:pt idx="15" c:formatCode="m&quot;月&quot;d&quot;日&quot;">
                  <c:v>45756</c:v>
                </c:pt>
                <c:pt idx="16" c:formatCode="m&quot;月&quot;d&quot;日&quot;">
                  <c:v>45757</c:v>
                </c:pt>
              </c:numCache>
            </c:numRef>
          </c:cat>
          <c:val>
            <c:numRef>
              <c:f>[工作簿1]Sheet1!$I$4:$Y$4</c:f>
              <c:numCache>
                <c:formatCode>General</c:formatCode>
                <c:ptCount val="17"/>
                <c:pt idx="0">
                  <c:v>27</c:v>
                </c:pt>
                <c:pt idx="1">
                  <c:v>27</c:v>
                </c:pt>
                <c:pt idx="2">
                  <c:v>26</c:v>
                </c:pt>
                <c:pt idx="3">
                  <c:v>27</c:v>
                </c:pt>
                <c:pt idx="4">
                  <c:v>28</c:v>
                </c:pt>
                <c:pt idx="5">
                  <c:v>30</c:v>
                </c:pt>
                <c:pt idx="6">
                  <c:v>28</c:v>
                </c:pt>
                <c:pt idx="7">
                  <c:v>28</c:v>
                </c:pt>
                <c:pt idx="8">
                  <c:v>28</c:v>
                </c:pt>
                <c:pt idx="9">
                  <c:v>29</c:v>
                </c:pt>
                <c:pt idx="10">
                  <c:v>28</c:v>
                </c:pt>
                <c:pt idx="11">
                  <c:v>29</c:v>
                </c:pt>
                <c:pt idx="12">
                  <c:v>29</c:v>
                </c:pt>
                <c:pt idx="13">
                  <c:v>30</c:v>
                </c:pt>
                <c:pt idx="14">
                  <c:v>29</c:v>
                </c:pt>
                <c:pt idx="15">
                  <c:v>30</c:v>
                </c:pt>
                <c:pt idx="16">
                  <c:v>30</c:v>
                </c:pt>
              </c:numCache>
            </c:numRef>
          </c:val>
          <c:smooth val="0"/>
        </c:ser>
        <c:dLbls>
          <c:showLegendKey val="0"/>
          <c:showVal val="1"/>
          <c:showCatName val="0"/>
          <c:showSerName val="0"/>
          <c:showPercent val="0"/>
          <c:showBubbleSize val="0"/>
        </c:dLbls>
        <c:marker val="0"/>
        <c:smooth val="0"/>
        <c:axId val="709899975"/>
        <c:axId val="994906079"/>
      </c:lineChart>
      <c:dateAx>
        <c:axId val="709899975"/>
        <c:scaling>
          <c:orientation val="minMax"/>
        </c:scaling>
        <c:delete val="0"/>
        <c:axPos val="b"/>
        <c:title>
          <c:tx>
            <c:rich>
              <a:bodyPr rot="0" spcFirstLastPara="0" vertOverflow="ellipsis" vert="horz" wrap="square" anchor="ctr" anchorCtr="1"/>
              <a:lstStyle/>
              <a:p>
                <a:pPr defTabSz="914400">
                  <a:defRPr lang="zh-CN" sz="1000" b="0" i="0" u="none" strike="noStrike" kern="1200" baseline="0">
                    <a:solidFill>
                      <a:sysClr val="windowText" lastClr="000000"/>
                    </a:solidFill>
                    <a:latin typeface="+mn-lt"/>
                    <a:ea typeface="+mn-ea"/>
                    <a:cs typeface="+mn-cs"/>
                  </a:defRPr>
                </a:pPr>
                <a:r>
                  <a:rPr lang="zh-CN" altLang="en-US">
                    <a:solidFill>
                      <a:sysClr val="windowText" lastClr="000000"/>
                    </a:solidFill>
                  </a:rPr>
                  <a:t>日期</a:t>
                </a:r>
                <a:endParaRPr lang="zh-CN" altLang="en-US">
                  <a:solidFill>
                    <a:sysClr val="windowText" lastClr="000000"/>
                  </a:solidFill>
                </a:endParaRPr>
              </a:p>
            </c:rich>
          </c:tx>
          <c:layout/>
          <c:overlay val="0"/>
          <c:spPr>
            <a:noFill/>
            <a:ln>
              <a:noFill/>
            </a:ln>
            <a:effectLst/>
          </c:spPr>
        </c:title>
        <c:numFmt formatCode="m&quot;月&quot;d&quot;日&quot;" sourceLinked="0"/>
        <c:majorTickMark val="in"/>
        <c:minorTickMark val="in"/>
        <c:tickLblPos val="nextTo"/>
        <c:spPr>
          <a:noFill/>
          <a:ln w="9525" cap="flat" cmpd="sng" algn="ctr">
            <a:solidFill>
              <a:schemeClr val="tx1"/>
            </a:solidFill>
            <a:round/>
          </a:ln>
          <a:effectLst/>
        </c:spPr>
        <c:txPr>
          <a:bodyPr rot="-6000000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994906079"/>
        <c:crosses val="autoZero"/>
        <c:auto val="1"/>
        <c:lblOffset val="100"/>
        <c:baseTimeUnit val="days"/>
        <c:majorUnit val="1"/>
        <c:majorTimeUnit val="days"/>
      </c:dateAx>
      <c:valAx>
        <c:axId val="994906079"/>
        <c:scaling>
          <c:orientation val="minMax"/>
          <c:max val="45"/>
          <c:min val="18"/>
        </c:scaling>
        <c:delete val="0"/>
        <c:axPos val="l"/>
        <c:title>
          <c:tx>
            <c:rich>
              <a:bodyPr rot="-5400000" spcFirstLastPara="0" vertOverflow="ellipsis" vert="horz" wrap="square" anchor="ctr" anchorCtr="1"/>
              <a:lstStyle/>
              <a:p>
                <a:pPr defTabSz="914400">
                  <a:defRPr lang="zh-CN" sz="1000" b="0" i="0" u="none" strike="noStrike" kern="1200" baseline="0">
                    <a:solidFill>
                      <a:sysClr val="windowText" lastClr="000000"/>
                    </a:solidFill>
                    <a:latin typeface="+mn-lt"/>
                    <a:ea typeface="+mn-ea"/>
                    <a:cs typeface="+mn-cs"/>
                  </a:defRPr>
                </a:pPr>
                <a:r>
                  <a:rPr lang="en-US" altLang="zh-CN">
                    <a:solidFill>
                      <a:sysClr val="windowText" lastClr="000000"/>
                    </a:solidFill>
                    <a:latin typeface="+mj-ea"/>
                    <a:ea typeface="+mj-ea"/>
                    <a:cs typeface="+mj-ea"/>
                  </a:rPr>
                  <a:t>气温（℃）</a:t>
                </a:r>
                <a:endParaRPr lang="en-US" altLang="zh-CN">
                  <a:solidFill>
                    <a:sysClr val="windowText" lastClr="000000"/>
                  </a:solidFill>
                  <a:latin typeface="+mj-ea"/>
                  <a:ea typeface="+mj-ea"/>
                  <a:cs typeface="+mj-ea"/>
                </a:endParaRPr>
              </a:p>
            </c:rich>
          </c:tx>
          <c:layout/>
          <c:overlay val="0"/>
          <c:spPr>
            <a:noFill/>
            <a:ln>
              <a:noFill/>
            </a:ln>
            <a:effectLst/>
          </c:spPr>
        </c:title>
        <c:numFmt formatCode="General" sourceLinked="1"/>
        <c:majorTickMark val="in"/>
        <c:minorTickMark val="none"/>
        <c:tickLblPos val="nextTo"/>
        <c:spPr>
          <a:noFill/>
          <a:ln>
            <a:solidFill>
              <a:schemeClr val="tx1"/>
            </a:solidFill>
          </a:ln>
          <a:effectLst/>
        </c:spPr>
        <c:txPr>
          <a:bodyPr rot="-6000000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709899975"/>
        <c:crosses val="autoZero"/>
        <c:crossBetween val="between"/>
        <c:majorUnit val="2"/>
      </c:valAx>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
    <c:plotVisOnly val="1"/>
    <c:dispBlanksAs val="gap"/>
    <c:showDLblsOverMax val="0"/>
    <c:extLst>
      <c:ext uri="{0b15fc19-7d7d-44ad-8c2d-2c3a37ce22c3}">
        <chartProps xmlns="https://web.wps.cn/et/2018/main" chartId="{6b8e8f48-c7b5-4cf1-a6db-7aa726aaf587}"/>
      </c:ext>
    </c:extLst>
  </c:chart>
  <c:spPr>
    <a:solidFill>
      <a:schemeClr val="bg1"/>
    </a:solidFill>
    <a:ln w="12700" cap="flat" cmpd="sng" algn="ctr">
      <a:noFill/>
      <a:prstDash val="solid"/>
      <a:round/>
    </a:ln>
    <a:effectLst/>
  </c:spPr>
  <c:txPr>
    <a:bodyPr/>
    <a:lstStyle/>
    <a:p>
      <a:pPr>
        <a:defRPr lang="zh-CN">
          <a:solidFill>
            <a:sysClr val="windowText" lastClr="000000"/>
          </a:solidFill>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28">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0">
      <cs:styleClr val="auto"/>
    </cs:fillRef>
    <cs:effectRef idx="0"/>
    <cs:fontRef idx="minor">
      <a:schemeClr val="dk1"/>
    </cs:fontRef>
    <cs:spPr>
      <a:ln w="28575" cap="rnd">
        <a:solidFill>
          <a:schemeClr val="phClr"/>
        </a:solidFill>
        <a:round/>
      </a:ln>
      <a:effectLst/>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Pages>
  <Words>2425</Words>
  <Characters>13826</Characters>
  <Lines>115</Lines>
  <Paragraphs>32</Paragraphs>
  <TotalTime>6</TotalTime>
  <ScaleCrop>false</ScaleCrop>
  <LinksUpToDate>false</LinksUpToDate>
  <CharactersWithSpaces>16219</CharactersWithSpaces>
  <Application>WPS Office_7.3.1.8967_F1E327BC-269C-435d-A152-05C5408002CA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2025-04-19T21:22:00Z</dcterms:created>
  <dc:creator>余芷姗</dc:creator>
  <cp:lastModifiedBy>余芷姗</cp:lastModifiedBy>
  <dcterms:modified xsi:type="dcterms:W3CDTF">2025-05-25T15:48:40Z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2052-7.3.1.8967</vt:lpwstr>
  </property>
  <property fmtid="{D5CDD505-2E9C-101B-9397-08002B2CF9AE}" pid="3" name="ICV">
    <vt:lpwstr>EE6D330C808F62EC5E1B2F68F92F80E1_43</vt:lpwstr>
  </property>
  <property fmtid="{D5CDD505-2E9C-101B-9397-08002B2CF9AE}" pid="4" name="KSOTemplateDocerSaveRecord">
    <vt:lpwstr>eyJoZGlkIjoiNGE3MjU1MGE4NmYxNzk3N2EyOTJhMjhlYmMyZTQzODMiLCJ1c2VySWQiOiIxNDU1ODczNjg4In0=</vt:lpwstr>
  </property>
</Properties>
</file>