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A2B14">
      <w:pPr>
        <w:ind w:firstLine="480"/>
        <w:jc w:val="center"/>
        <w:textAlignment w:val="baseline"/>
        <w:rPr>
          <w:rFonts w:eastAsia="宋体" w:cs="宋体"/>
          <w:sz w:val="21"/>
        </w:rPr>
      </w:pPr>
      <w:bookmarkStart w:id="0" w:name="_Hlk120520287"/>
      <w:bookmarkEnd w:id="0"/>
      <w:bookmarkStart w:id="1" w:name="_Toc29156"/>
      <w:r>
        <w:rPr>
          <w:rFonts w:ascii="宋体" w:hAnsi="宋体" w:eastAsia="宋体" w:cs="宋体"/>
          <w:szCs w:val="24"/>
        </w:rPr>
        <w:drawing>
          <wp:inline distT="0" distB="0" distL="114300" distR="114300">
            <wp:extent cx="5074920" cy="911860"/>
            <wp:effectExtent l="0" t="0" r="1143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2"/>
                    <a:stretch>
                      <a:fillRect/>
                    </a:stretch>
                  </pic:blipFill>
                  <pic:spPr>
                    <a:xfrm>
                      <a:off x="0" y="0"/>
                      <a:ext cx="5074920" cy="911860"/>
                    </a:xfrm>
                    <a:prstGeom prst="rect">
                      <a:avLst/>
                    </a:prstGeom>
                    <a:noFill/>
                    <a:ln>
                      <a:noFill/>
                    </a:ln>
                  </pic:spPr>
                </pic:pic>
              </a:graphicData>
            </a:graphic>
          </wp:inline>
        </w:drawing>
      </w:r>
      <w:r>
        <w:rPr>
          <w:rFonts w:hint="eastAsia"/>
          <w:sz w:val="21"/>
        </w:rPr>
        <w:t xml:space="preserve"> </w:t>
      </w:r>
    </w:p>
    <w:p w14:paraId="171366B9">
      <w:pPr>
        <w:ind w:firstLine="964" w:firstLineChars="100"/>
        <w:jc w:val="center"/>
        <w:textAlignment w:val="baseline"/>
        <w:rPr>
          <w:rFonts w:hint="eastAsia" w:ascii="黑体" w:hAnsi="黑体" w:eastAsia="黑体" w:cs="黑体"/>
          <w:b/>
          <w:bCs/>
          <w:sz w:val="96"/>
          <w:szCs w:val="96"/>
        </w:rPr>
      </w:pPr>
    </w:p>
    <w:p w14:paraId="5E58937C">
      <w:pPr>
        <w:ind w:firstLine="964" w:firstLineChars="100"/>
        <w:jc w:val="center"/>
        <w:textAlignment w:val="baseline"/>
        <w:rPr>
          <w:rFonts w:hint="eastAsia" w:ascii="黑体" w:hAnsi="黑体" w:eastAsia="黑体" w:cs="黑体"/>
          <w:b/>
          <w:bCs/>
          <w:sz w:val="96"/>
          <w:szCs w:val="96"/>
        </w:rPr>
      </w:pPr>
      <w:r>
        <w:rPr>
          <w:rFonts w:hint="eastAsia" w:ascii="黑体" w:hAnsi="黑体" w:eastAsia="黑体" w:cs="黑体"/>
          <w:b/>
          <w:bCs/>
          <w:sz w:val="96"/>
          <w:szCs w:val="96"/>
        </w:rPr>
        <w:t>毕业设计(论文)</w:t>
      </w:r>
    </w:p>
    <w:p w14:paraId="071ED271">
      <w:pPr>
        <w:ind w:firstLine="803" w:firstLineChars="200"/>
        <w:textAlignment w:val="baseline"/>
        <w:rPr>
          <w:rFonts w:hint="eastAsia" w:ascii="黑体" w:hAnsi="黑体" w:eastAsia="黑体" w:cs="黑体"/>
          <w:b/>
          <w:bCs/>
          <w:sz w:val="40"/>
          <w:szCs w:val="40"/>
        </w:rPr>
      </w:pP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7"/>
        <w:gridCol w:w="6627"/>
      </w:tblGrid>
      <w:tr w14:paraId="71C6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3338F726">
            <w:pPr>
              <w:tabs>
                <w:tab w:val="right" w:pos="2552"/>
                <w:tab w:val="left" w:pos="8222"/>
              </w:tabs>
              <w:spacing w:line="800" w:lineRule="exact"/>
              <w:jc w:val="center"/>
              <w:textAlignment w:val="baseline"/>
              <w:rPr>
                <w:spacing w:val="20"/>
                <w:sz w:val="36"/>
                <w:szCs w:val="36"/>
                <w:u w:val="single"/>
              </w:rPr>
            </w:pPr>
            <w:r>
              <w:rPr>
                <w:rFonts w:hint="eastAsia"/>
                <w:spacing w:val="20"/>
                <w:sz w:val="36"/>
                <w:szCs w:val="36"/>
              </w:rPr>
              <w:t xml:space="preserve"> 题   </w:t>
            </w:r>
            <w:r>
              <w:rPr>
                <w:spacing w:val="20"/>
                <w:sz w:val="36"/>
                <w:szCs w:val="36"/>
              </w:rPr>
              <w:t xml:space="preserve"> 目</w:t>
            </w:r>
          </w:p>
        </w:tc>
        <w:tc>
          <w:tcPr>
            <w:tcW w:w="6627" w:type="dxa"/>
            <w:tcBorders>
              <w:bottom w:val="single" w:color="auto" w:sz="4" w:space="0"/>
            </w:tcBorders>
          </w:tcPr>
          <w:p w14:paraId="4BF0D920">
            <w:pPr>
              <w:tabs>
                <w:tab w:val="right" w:pos="2552"/>
                <w:tab w:val="left" w:pos="8222"/>
              </w:tabs>
              <w:spacing w:line="800" w:lineRule="exact"/>
              <w:textAlignment w:val="baseline"/>
              <w:rPr>
                <w:spacing w:val="20"/>
                <w:sz w:val="36"/>
                <w:szCs w:val="36"/>
              </w:rPr>
            </w:pPr>
            <w:r>
              <w:rPr>
                <w:rFonts w:hint="eastAsia"/>
                <w:spacing w:val="20"/>
                <w:sz w:val="36"/>
                <w:szCs w:val="36"/>
              </w:rPr>
              <w:t xml:space="preserve"> </w:t>
            </w:r>
            <w:r>
              <w:rPr>
                <w:spacing w:val="20"/>
                <w:sz w:val="36"/>
                <w:u w:color="auto"/>
              </w:rPr>
              <w:t>企业降低物流成本的途经设计</w:t>
            </w:r>
          </w:p>
        </w:tc>
      </w:tr>
      <w:tr w14:paraId="3AFB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3AF0C1F6">
            <w:pPr>
              <w:spacing w:line="800" w:lineRule="exact"/>
              <w:jc w:val="center"/>
              <w:textAlignment w:val="baseline"/>
              <w:rPr>
                <w:rFonts w:eastAsia="宋体"/>
                <w:spacing w:val="20"/>
                <w:sz w:val="36"/>
                <w:szCs w:val="36"/>
                <w:u w:val="single"/>
              </w:rPr>
            </w:pPr>
            <w:r>
              <w:rPr>
                <w:rFonts w:hint="eastAsia"/>
                <w:spacing w:val="20"/>
                <w:sz w:val="36"/>
                <w:szCs w:val="36"/>
              </w:rPr>
              <w:t xml:space="preserve"> 学院名称</w:t>
            </w:r>
          </w:p>
        </w:tc>
        <w:tc>
          <w:tcPr>
            <w:tcW w:w="6627" w:type="dxa"/>
            <w:tcBorders>
              <w:top w:val="single" w:color="auto" w:sz="4" w:space="0"/>
              <w:bottom w:val="single" w:color="auto" w:sz="4" w:space="0"/>
            </w:tcBorders>
          </w:tcPr>
          <w:p w14:paraId="6985542C">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经济管理学院</w:t>
            </w:r>
          </w:p>
        </w:tc>
      </w:tr>
      <w:tr w14:paraId="47FF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53751D01">
            <w:pPr>
              <w:spacing w:line="800" w:lineRule="exact"/>
              <w:jc w:val="center"/>
              <w:textAlignment w:val="baseline"/>
              <w:rPr>
                <w:rFonts w:eastAsia="宋体"/>
                <w:spacing w:val="20"/>
                <w:sz w:val="36"/>
                <w:szCs w:val="36"/>
                <w:u w:val="single"/>
              </w:rPr>
            </w:pPr>
            <w:r>
              <w:rPr>
                <w:rFonts w:hint="eastAsia"/>
                <w:spacing w:val="20"/>
                <w:sz w:val="36"/>
                <w:szCs w:val="36"/>
              </w:rPr>
              <w:t xml:space="preserve"> 专    业</w:t>
            </w:r>
          </w:p>
        </w:tc>
        <w:tc>
          <w:tcPr>
            <w:tcW w:w="6627" w:type="dxa"/>
            <w:tcBorders>
              <w:top w:val="single" w:color="auto" w:sz="4" w:space="0"/>
              <w:bottom w:val="single" w:color="auto" w:sz="4" w:space="0"/>
            </w:tcBorders>
          </w:tcPr>
          <w:p w14:paraId="4B7E5140">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现代物流管理</w:t>
            </w:r>
          </w:p>
        </w:tc>
      </w:tr>
      <w:tr w14:paraId="17CF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D492121">
            <w:pPr>
              <w:spacing w:line="800" w:lineRule="exact"/>
              <w:jc w:val="center"/>
              <w:textAlignment w:val="baseline"/>
              <w:rPr>
                <w:rFonts w:eastAsia="宋体"/>
                <w:spacing w:val="20"/>
                <w:sz w:val="36"/>
                <w:szCs w:val="36"/>
                <w:u w:val="single"/>
              </w:rPr>
            </w:pPr>
            <w:r>
              <w:rPr>
                <w:rFonts w:hint="eastAsia"/>
                <w:spacing w:val="20"/>
                <w:sz w:val="36"/>
                <w:szCs w:val="36"/>
              </w:rPr>
              <w:t xml:space="preserve"> 班    级</w:t>
            </w:r>
          </w:p>
        </w:tc>
        <w:tc>
          <w:tcPr>
            <w:tcW w:w="6627" w:type="dxa"/>
            <w:tcBorders>
              <w:top w:val="single" w:color="auto" w:sz="4" w:space="0"/>
              <w:bottom w:val="single" w:color="auto" w:sz="4" w:space="0"/>
            </w:tcBorders>
          </w:tcPr>
          <w:p w14:paraId="3FF79302">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23物流1班</w:t>
            </w:r>
          </w:p>
        </w:tc>
      </w:tr>
      <w:tr w14:paraId="6CC9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4C5F92C7">
            <w:pPr>
              <w:spacing w:line="800" w:lineRule="exact"/>
              <w:jc w:val="center"/>
              <w:textAlignment w:val="baseline"/>
              <w:rPr>
                <w:rFonts w:eastAsia="宋体"/>
                <w:spacing w:val="20"/>
                <w:sz w:val="36"/>
                <w:szCs w:val="36"/>
                <w:u w:val="single"/>
              </w:rPr>
            </w:pPr>
            <w:r>
              <w:rPr>
                <w:rFonts w:hint="eastAsia"/>
                <w:spacing w:val="20"/>
                <w:sz w:val="36"/>
                <w:szCs w:val="36"/>
              </w:rPr>
              <w:t xml:space="preserve"> 姓    名</w:t>
            </w:r>
          </w:p>
        </w:tc>
        <w:tc>
          <w:tcPr>
            <w:tcW w:w="6627" w:type="dxa"/>
            <w:tcBorders>
              <w:top w:val="single" w:color="auto" w:sz="4" w:space="0"/>
              <w:bottom w:val="single" w:color="auto" w:sz="4" w:space="0"/>
            </w:tcBorders>
          </w:tcPr>
          <w:p w14:paraId="0FB34E25">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林志玲</w:t>
            </w:r>
          </w:p>
        </w:tc>
      </w:tr>
      <w:tr w14:paraId="62A30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5F1C34CF">
            <w:pPr>
              <w:spacing w:line="800" w:lineRule="exact"/>
              <w:jc w:val="center"/>
              <w:textAlignment w:val="baseline"/>
              <w:rPr>
                <w:rFonts w:eastAsia="宋体"/>
                <w:spacing w:val="20"/>
                <w:sz w:val="36"/>
                <w:szCs w:val="36"/>
              </w:rPr>
            </w:pPr>
            <w:r>
              <w:rPr>
                <w:rFonts w:hint="eastAsia"/>
                <w:spacing w:val="20"/>
                <w:sz w:val="36"/>
                <w:szCs w:val="36"/>
              </w:rPr>
              <w:t xml:space="preserve"> 学    号</w:t>
            </w:r>
          </w:p>
        </w:tc>
        <w:tc>
          <w:tcPr>
            <w:tcW w:w="6627" w:type="dxa"/>
            <w:tcBorders>
              <w:top w:val="single" w:color="auto" w:sz="4" w:space="0"/>
              <w:bottom w:val="single" w:color="auto" w:sz="4" w:space="0"/>
            </w:tcBorders>
          </w:tcPr>
          <w:p w14:paraId="0E11F9A6">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2303210115</w:t>
            </w:r>
          </w:p>
        </w:tc>
      </w:tr>
      <w:tr w14:paraId="08EF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11FC5D5">
            <w:pPr>
              <w:spacing w:line="800" w:lineRule="exact"/>
              <w:jc w:val="center"/>
              <w:textAlignment w:val="baseline"/>
              <w:rPr>
                <w:rFonts w:eastAsia="黑体"/>
                <w:spacing w:val="20"/>
                <w:sz w:val="36"/>
                <w:szCs w:val="36"/>
                <w:u w:val="single"/>
              </w:rPr>
            </w:pPr>
            <w:r>
              <w:rPr>
                <w:rFonts w:hint="eastAsia"/>
                <w:spacing w:val="20"/>
                <w:sz w:val="36"/>
                <w:szCs w:val="36"/>
              </w:rPr>
              <w:t xml:space="preserve"> 指导教师</w:t>
            </w:r>
          </w:p>
        </w:tc>
        <w:tc>
          <w:tcPr>
            <w:tcW w:w="6627" w:type="dxa"/>
            <w:tcBorders>
              <w:top w:val="single" w:color="auto" w:sz="4" w:space="0"/>
              <w:bottom w:val="single" w:color="auto" w:sz="4" w:space="0"/>
            </w:tcBorders>
          </w:tcPr>
          <w:p w14:paraId="22DCBA9B">
            <w:pPr>
              <w:spacing w:line="800" w:lineRule="exact"/>
              <w:textAlignment w:val="baseline"/>
              <w:rPr>
                <w:rFonts w:eastAsia="黑体"/>
                <w:spacing w:val="20"/>
                <w:sz w:val="36"/>
                <w:szCs w:val="36"/>
              </w:rPr>
            </w:pPr>
            <w:r>
              <w:rPr>
                <w:rFonts w:hint="eastAsia" w:eastAsia="黑体"/>
                <w:spacing w:val="20"/>
                <w:sz w:val="36"/>
                <w:szCs w:val="36"/>
              </w:rPr>
              <w:t xml:space="preserve"> </w:t>
            </w:r>
            <w:r>
              <w:rPr>
                <w:rFonts w:hint="eastAsia" w:eastAsia="宋体"/>
                <w:spacing w:val="20"/>
                <w:sz w:val="36"/>
                <w:szCs w:val="36"/>
              </w:rPr>
              <w:t>郭茹诗</w:t>
            </w:r>
          </w:p>
        </w:tc>
      </w:tr>
    </w:tbl>
    <w:p w14:paraId="2BADCEA6">
      <w:pPr>
        <w:spacing w:line="800" w:lineRule="exact"/>
        <w:textAlignment w:val="baseline"/>
        <w:rPr>
          <w:spacing w:val="20"/>
          <w:sz w:val="36"/>
          <w:szCs w:val="36"/>
        </w:rPr>
      </w:pPr>
    </w:p>
    <w:p w14:paraId="45DD7FA9">
      <w:pPr>
        <w:spacing w:line="800" w:lineRule="exact"/>
        <w:ind w:firstLine="4400" w:firstLineChars="1100"/>
        <w:jc w:val="left"/>
        <w:textAlignment w:val="baseline"/>
        <w:rPr>
          <w:spacing w:val="20"/>
          <w:sz w:val="36"/>
          <w:szCs w:val="36"/>
        </w:rPr>
      </w:pPr>
      <w:r>
        <w:rPr>
          <w:rFonts w:hint="eastAsia"/>
          <w:spacing w:val="20"/>
          <w:sz w:val="36"/>
          <w:szCs w:val="36"/>
        </w:rPr>
        <w:t>2026年6月1日</w:t>
      </w:r>
    </w:p>
    <w:p w14:paraId="11FACA6A">
      <w:pPr>
        <w:spacing w:line="800" w:lineRule="exact"/>
        <w:ind w:firstLine="800"/>
        <w:jc w:val="center"/>
        <w:textAlignment w:val="baseline"/>
        <w:rPr>
          <w:spacing w:val="20"/>
          <w:sz w:val="36"/>
          <w:szCs w:val="36"/>
        </w:rPr>
        <w:sectPr>
          <w:headerReference r:id="rId3" w:type="default"/>
          <w:footerReference r:id="rId4" w:type="default"/>
          <w:pgSz w:w="11906" w:h="16838"/>
          <w:pgMar w:top="1440" w:right="1134" w:bottom="1440" w:left="1134" w:header="851" w:footer="992" w:gutter="0"/>
          <w:pgNumType w:chapStyle="1"/>
          <w:cols w:space="720" w:num="1"/>
          <w:docGrid w:type="lines" w:linePitch="312" w:charSpace="0"/>
        </w:sectPr>
      </w:pPr>
      <w:r>
        <w:rPr>
          <w:rFonts w:hint="eastAsia"/>
          <w:spacing w:val="20"/>
          <w:sz w:val="36"/>
          <w:szCs w:val="36"/>
        </w:rPr>
        <w:t>教务处</w:t>
      </w:r>
    </w:p>
    <w:bookmarkEnd w:id="1"/>
    <w:p w14:paraId="2B6B1C47">
      <w:pPr>
        <w:spacing w:line="300" w:lineRule="auto"/>
        <w:jc w:val="center"/>
        <w:rPr>
          <w:rFonts w:hint="eastAsia" w:ascii="Times New Roman" w:hAnsi="Times New Roman" w:eastAsia="黑体" w:cs="Times New Roman"/>
          <w:sz w:val="32"/>
        </w:rPr>
      </w:pPr>
      <w:r>
        <w:rPr>
          <w:rFonts w:hint="eastAsia" w:ascii="Times New Roman" w:hAnsi="Times New Roman" w:eastAsia="黑体" w:cs="Times New Roman"/>
          <w:sz w:val="32"/>
        </w:rPr>
        <w:t>摘</w:t>
      </w:r>
      <w:r>
        <w:rPr>
          <w:rFonts w:hint="eastAsia" w:ascii="Times New Roman" w:hAnsi="Times New Roman" w:eastAsia="黑体" w:cs="Times New Roman"/>
          <w:sz w:val="32"/>
          <w:lang w:val="en-US" w:eastAsia="zh-CN"/>
        </w:rPr>
        <w:t xml:space="preserve">  </w:t>
      </w:r>
      <w:r>
        <w:rPr>
          <w:rFonts w:hint="eastAsia" w:ascii="Times New Roman" w:hAnsi="Times New Roman" w:eastAsia="黑体" w:cs="Times New Roman"/>
          <w:sz w:val="32"/>
        </w:rPr>
        <w:t>要</w:t>
      </w:r>
      <w:bookmarkStart w:id="33" w:name="_GoBack"/>
      <w:bookmarkEnd w:id="33"/>
    </w:p>
    <w:p w14:paraId="71E817C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sz w:val="24"/>
          <w:szCs w:val="22"/>
        </w:rPr>
      </w:pPr>
    </w:p>
    <w:p w14:paraId="38EFDE5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sz w:val="24"/>
          <w:szCs w:val="22"/>
        </w:rPr>
      </w:pPr>
      <w:r>
        <w:rPr>
          <w:rFonts w:hint="eastAsia" w:ascii="Times New Roman" w:hAnsi="Times New Roman" w:eastAsia="宋体" w:cs="Times New Roman"/>
          <w:sz w:val="24"/>
          <w:szCs w:val="22"/>
        </w:rPr>
        <w:t>在降低全社会物流成本国家政策引导下本文选择顺丰控股作为案例，依托公司公开经营成本数据，从成本核算口径、运输分拨效率、跨环节协同三个</w:t>
      </w:r>
      <w:r>
        <w:rPr>
          <w:rFonts w:hint="eastAsia" w:ascii="Times New Roman" w:hAnsi="Times New Roman" w:eastAsia="宋体" w:cs="Times New Roman"/>
          <w:sz w:val="24"/>
          <w:szCs w:val="22"/>
          <w:lang w:val="en-US" w:eastAsia="zh-CN"/>
        </w:rPr>
        <w:t>部分</w:t>
      </w:r>
      <w:r>
        <w:rPr>
          <w:rFonts w:hint="eastAsia" w:ascii="Times New Roman" w:hAnsi="Times New Roman" w:eastAsia="宋体" w:cs="Times New Roman"/>
          <w:sz w:val="24"/>
          <w:szCs w:val="22"/>
        </w:rPr>
        <w:t>，梳理成本管理现状识别问题，人工成本运力成本收入占比处高位，分别</w:t>
      </w:r>
      <w:r>
        <w:rPr>
          <w:rFonts w:hint="eastAsia" w:ascii="Times New Roman" w:hAnsi="Times New Roman" w:eastAsia="宋体" w:cs="Times New Roman"/>
          <w:sz w:val="24"/>
          <w:szCs w:val="22"/>
          <w:lang w:val="en-US" w:eastAsia="zh-CN"/>
        </w:rPr>
        <w:t>是</w:t>
      </w:r>
      <w:r>
        <w:rPr>
          <w:rFonts w:hint="eastAsia" w:ascii="Times New Roman" w:hAnsi="Times New Roman" w:eastAsia="宋体" w:cs="Times New Roman"/>
          <w:sz w:val="24"/>
          <w:szCs w:val="22"/>
        </w:rPr>
        <w:t>41.11%与32.84%，核算标准不统一</w:t>
      </w:r>
      <w:r>
        <w:rPr>
          <w:rFonts w:hint="eastAsia" w:ascii="Times New Roman" w:hAnsi="Times New Roman" w:eastAsia="宋体" w:cs="Times New Roman"/>
          <w:sz w:val="24"/>
          <w:szCs w:val="22"/>
          <w:lang w:val="en-US" w:eastAsia="zh-CN"/>
        </w:rPr>
        <w:t>和</w:t>
      </w:r>
      <w:r>
        <w:rPr>
          <w:rFonts w:hint="eastAsia" w:ascii="Times New Roman" w:hAnsi="Times New Roman" w:eastAsia="宋体" w:cs="Times New Roman"/>
          <w:sz w:val="24"/>
          <w:szCs w:val="22"/>
        </w:rPr>
        <w:t>结构拆分不</w:t>
      </w:r>
      <w:r>
        <w:rPr>
          <w:rFonts w:hint="eastAsia" w:ascii="Times New Roman" w:hAnsi="Times New Roman" w:eastAsia="宋体" w:cs="Times New Roman"/>
          <w:sz w:val="24"/>
          <w:szCs w:val="22"/>
          <w:lang w:val="en-US" w:eastAsia="zh-CN"/>
        </w:rPr>
        <w:t>清晰减弱</w:t>
      </w:r>
      <w:r>
        <w:rPr>
          <w:rFonts w:hint="eastAsia" w:ascii="Times New Roman" w:hAnsi="Times New Roman" w:eastAsia="宋体" w:cs="Times New Roman"/>
          <w:sz w:val="24"/>
          <w:szCs w:val="22"/>
        </w:rPr>
        <w:t>责任落实影响对标比较。</w:t>
      </w:r>
    </w:p>
    <w:p w14:paraId="5C6AD0F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sz w:val="24"/>
          <w:szCs w:val="22"/>
        </w:rPr>
      </w:pPr>
      <w:r>
        <w:rPr>
          <w:rFonts w:hint="eastAsia" w:ascii="Times New Roman" w:hAnsi="Times New Roman" w:eastAsia="宋体" w:cs="Times New Roman"/>
          <w:sz w:val="24"/>
          <w:szCs w:val="22"/>
        </w:rPr>
        <w:t>基于物流成本构成、价值链成本管理与精益物流</w:t>
      </w:r>
      <w:r>
        <w:rPr>
          <w:rFonts w:hint="eastAsia" w:ascii="Times New Roman" w:hAnsi="Times New Roman" w:eastAsia="宋体" w:cs="Times New Roman"/>
          <w:sz w:val="24"/>
          <w:szCs w:val="22"/>
          <w:lang w:val="en-US" w:eastAsia="zh-CN"/>
        </w:rPr>
        <w:t>理念</w:t>
      </w:r>
      <w:r>
        <w:rPr>
          <w:rFonts w:hint="eastAsia" w:ascii="Times New Roman" w:hAnsi="Times New Roman" w:eastAsia="宋体" w:cs="Times New Roman"/>
          <w:sz w:val="24"/>
          <w:szCs w:val="22"/>
        </w:rPr>
        <w:t>，论文</w:t>
      </w:r>
      <w:r>
        <w:rPr>
          <w:rFonts w:hint="eastAsia" w:ascii="Times New Roman" w:hAnsi="Times New Roman" w:eastAsia="宋体" w:cs="Times New Roman"/>
          <w:sz w:val="24"/>
          <w:szCs w:val="22"/>
          <w:lang w:val="en-US" w:eastAsia="zh-CN"/>
        </w:rPr>
        <w:t>提议</w:t>
      </w:r>
      <w:r>
        <w:rPr>
          <w:rFonts w:hint="eastAsia" w:ascii="Times New Roman" w:hAnsi="Times New Roman" w:eastAsia="宋体" w:cs="Times New Roman"/>
          <w:sz w:val="24"/>
          <w:szCs w:val="22"/>
        </w:rPr>
        <w:t>统一成本核算评估</w:t>
      </w:r>
      <w:r>
        <w:rPr>
          <w:rFonts w:hint="eastAsia" w:ascii="Times New Roman" w:hAnsi="Times New Roman" w:eastAsia="宋体" w:cs="Times New Roman"/>
          <w:sz w:val="24"/>
          <w:szCs w:val="22"/>
          <w:lang w:val="en-US" w:eastAsia="zh-CN"/>
        </w:rPr>
        <w:t>制度和</w:t>
      </w:r>
      <w:r>
        <w:rPr>
          <w:rFonts w:hint="eastAsia" w:ascii="Times New Roman" w:hAnsi="Times New Roman" w:eastAsia="宋体" w:cs="Times New Roman"/>
          <w:sz w:val="24"/>
          <w:szCs w:val="22"/>
        </w:rPr>
        <w:t>推动运输网络优化提升装载率，构建数据互联预测、容量与执行回传闭环，成本效率、网络效率、服务质量需建立同向约束考核机制，等与绕行摩擦成本降低资源利用效率提升，依靠上述路径</w:t>
      </w:r>
      <w:r>
        <w:rPr>
          <w:rFonts w:hint="eastAsia" w:ascii="Times New Roman" w:hAnsi="Times New Roman" w:eastAsia="宋体" w:cs="Times New Roman"/>
          <w:sz w:val="24"/>
          <w:szCs w:val="22"/>
          <w:lang w:val="en-US" w:eastAsia="zh-CN"/>
        </w:rPr>
        <w:t>可以</w:t>
      </w:r>
      <w:r>
        <w:rPr>
          <w:rFonts w:hint="eastAsia" w:ascii="Times New Roman" w:hAnsi="Times New Roman" w:eastAsia="宋体" w:cs="Times New Roman"/>
          <w:sz w:val="24"/>
          <w:szCs w:val="22"/>
        </w:rPr>
        <w:t>实现</w:t>
      </w:r>
      <w:r>
        <w:rPr>
          <w:rFonts w:hint="eastAsia" w:ascii="Times New Roman" w:hAnsi="Times New Roman" w:eastAsia="宋体" w:cs="Times New Roman"/>
          <w:sz w:val="24"/>
          <w:szCs w:val="22"/>
          <w:lang w:val="en-US" w:eastAsia="zh-CN"/>
        </w:rPr>
        <w:t>和</w:t>
      </w:r>
      <w:r>
        <w:rPr>
          <w:rFonts w:hint="eastAsia" w:ascii="Times New Roman" w:hAnsi="Times New Roman" w:eastAsia="宋体" w:cs="Times New Roman"/>
          <w:sz w:val="24"/>
          <w:szCs w:val="22"/>
        </w:rPr>
        <w:t>2027年社会物流总费用国内生产总值比率降</w:t>
      </w:r>
      <w:r>
        <w:rPr>
          <w:rFonts w:hint="eastAsia" w:ascii="Times New Roman" w:hAnsi="Times New Roman" w:eastAsia="宋体" w:cs="Times New Roman"/>
          <w:sz w:val="24"/>
          <w:szCs w:val="22"/>
          <w:lang w:val="en-US" w:eastAsia="zh-CN"/>
        </w:rPr>
        <w:t>到</w:t>
      </w:r>
      <w:r>
        <w:rPr>
          <w:rFonts w:hint="eastAsia" w:ascii="Times New Roman" w:hAnsi="Times New Roman" w:eastAsia="宋体" w:cs="Times New Roman"/>
          <w:sz w:val="24"/>
          <w:szCs w:val="22"/>
        </w:rPr>
        <w:t>13.5%左右政策导向</w:t>
      </w:r>
      <w:r>
        <w:rPr>
          <w:rFonts w:hint="eastAsia" w:ascii="Times New Roman" w:hAnsi="Times New Roman" w:eastAsia="宋体" w:cs="Times New Roman"/>
          <w:sz w:val="24"/>
          <w:szCs w:val="22"/>
          <w:lang w:val="en-US" w:eastAsia="zh-CN"/>
        </w:rPr>
        <w:t>同步</w:t>
      </w:r>
      <w:r>
        <w:rPr>
          <w:rFonts w:hint="eastAsia" w:ascii="Times New Roman" w:hAnsi="Times New Roman" w:eastAsia="宋体" w:cs="Times New Roman"/>
          <w:sz w:val="24"/>
          <w:szCs w:val="22"/>
        </w:rPr>
        <w:t>。</w:t>
      </w:r>
    </w:p>
    <w:p w14:paraId="7C220AE0">
      <w:pPr>
        <w:spacing w:line="300" w:lineRule="auto"/>
        <w:jc w:val="left"/>
        <w:rPr>
          <w:rFonts w:hint="eastAsia" w:ascii="Times New Roman" w:hAnsi="Times New Roman" w:eastAsia="宋体" w:cs="Times New Roman"/>
          <w:sz w:val="24"/>
          <w:szCs w:val="22"/>
        </w:rPr>
        <w:sectPr>
          <w:pgSz w:w="11906" w:h="16838"/>
          <w:pgMar w:top="1531" w:right="1417" w:bottom="1701" w:left="1701" w:header="851" w:footer="992" w:gutter="0"/>
          <w:pgNumType w:fmt="upperRoman" w:start="1"/>
          <w:cols w:space="0" w:num="1"/>
          <w:titlePg/>
          <w:docGrid w:type="lines" w:linePitch="312" w:charSpace="0"/>
        </w:sectPr>
      </w:pPr>
      <w:r>
        <w:rPr>
          <w:rFonts w:hint="eastAsia" w:ascii="Times New Roman" w:hAnsi="Times New Roman" w:eastAsia="黑体" w:cs="Times New Roman"/>
          <w:sz w:val="24"/>
          <w:szCs w:val="22"/>
        </w:rPr>
        <w:t>关键词</w:t>
      </w:r>
      <w:r>
        <w:rPr>
          <w:rFonts w:hint="eastAsia" w:ascii="Times New Roman" w:hAnsi="Times New Roman" w:eastAsia="黑体" w:cs="Times New Roman"/>
          <w:sz w:val="24"/>
          <w:szCs w:val="22"/>
          <w:lang w:eastAsia="zh-CN"/>
        </w:rPr>
        <w:t>：</w:t>
      </w:r>
      <w:r>
        <w:rPr>
          <w:rFonts w:hint="eastAsia" w:ascii="Times New Roman" w:hAnsi="Times New Roman" w:eastAsia="宋体" w:cs="Times New Roman"/>
          <w:sz w:val="24"/>
          <w:szCs w:val="22"/>
        </w:rPr>
        <w:t>顺丰控股</w:t>
      </w:r>
      <w:r>
        <w:rPr>
          <w:rFonts w:hint="eastAsia" w:ascii="Times New Roman" w:hAnsi="Times New Roman" w:eastAsia="宋体" w:cs="Times New Roman"/>
          <w:sz w:val="24"/>
          <w:szCs w:val="22"/>
          <w:lang w:eastAsia="zh-CN"/>
        </w:rPr>
        <w:t>；</w:t>
      </w:r>
      <w:r>
        <w:rPr>
          <w:rFonts w:hint="eastAsia" w:ascii="Times New Roman" w:hAnsi="Times New Roman" w:eastAsia="宋体" w:cs="Times New Roman"/>
          <w:sz w:val="24"/>
          <w:szCs w:val="22"/>
        </w:rPr>
        <w:t>物流成本管理</w:t>
      </w:r>
      <w:r>
        <w:rPr>
          <w:rFonts w:hint="eastAsia" w:ascii="Times New Roman" w:hAnsi="Times New Roman" w:eastAsia="宋体" w:cs="Times New Roman"/>
          <w:sz w:val="24"/>
          <w:szCs w:val="22"/>
          <w:lang w:eastAsia="zh-CN"/>
        </w:rPr>
        <w:t>；</w:t>
      </w:r>
      <w:r>
        <w:rPr>
          <w:rFonts w:hint="eastAsia" w:ascii="Times New Roman" w:hAnsi="Times New Roman" w:eastAsia="宋体" w:cs="Times New Roman"/>
          <w:sz w:val="24"/>
          <w:szCs w:val="22"/>
        </w:rPr>
        <w:t>运输网络优化</w:t>
      </w:r>
      <w:r>
        <w:rPr>
          <w:rFonts w:hint="eastAsia" w:ascii="Times New Roman" w:hAnsi="Times New Roman" w:eastAsia="宋体" w:cs="Times New Roman"/>
          <w:sz w:val="24"/>
          <w:szCs w:val="22"/>
          <w:lang w:eastAsia="zh-CN"/>
        </w:rPr>
        <w:t>；</w:t>
      </w:r>
      <w:r>
        <w:rPr>
          <w:rFonts w:hint="eastAsia" w:ascii="Times New Roman" w:hAnsi="Times New Roman" w:eastAsia="宋体" w:cs="Times New Roman"/>
          <w:sz w:val="24"/>
          <w:szCs w:val="22"/>
        </w:rPr>
        <w:t>数字化协同</w:t>
      </w:r>
    </w:p>
    <w:sdt>
      <w:sdtPr>
        <w:rPr>
          <w:rFonts w:ascii="Times New Roman" w:hAnsi="Times New Roman" w:eastAsia="黑体" w:cs="Times New Roman"/>
          <w:kern w:val="2"/>
          <w:sz w:val="32"/>
          <w:szCs w:val="32"/>
          <w:lang w:val="en-US" w:eastAsia="zh-CN" w:bidi="ar-SA"/>
        </w:rPr>
        <w:id w:val="147480798"/>
        <w15:color w:val="DBDBDB"/>
        <w:docPartObj>
          <w:docPartGallery w:val="Table of Contents"/>
          <w:docPartUnique/>
        </w:docPartObj>
      </w:sdtPr>
      <w:sdtEndPr>
        <w:rPr>
          <w:rFonts w:ascii="Times New Roman" w:hAnsi="Times New Roman" w:eastAsia="宋体" w:cs="Times New Roman"/>
          <w:color w:val="000000"/>
          <w:kern w:val="0"/>
          <w:sz w:val="21"/>
          <w:szCs w:val="22"/>
          <w:lang w:val="en-US" w:eastAsia="zh-CN" w:bidi="ar-SA"/>
        </w:rPr>
      </w:sdtEndPr>
      <w:sdtContent>
        <w:p w14:paraId="0CF24FE8">
          <w:pPr>
            <w:spacing w:before="0" w:beforeLines="0" w:after="0" w:afterLines="0" w:line="240" w:lineRule="auto"/>
            <w:ind w:left="0" w:leftChars="0" w:right="0" w:rightChars="0" w:firstLine="0" w:firstLineChars="0"/>
            <w:jc w:val="center"/>
            <w:rPr>
              <w:rFonts w:ascii="Times New Roman" w:hAnsi="Times New Roman" w:eastAsia="黑体" w:cs="Times New Roman"/>
              <w:sz w:val="32"/>
              <w:szCs w:val="32"/>
            </w:rPr>
          </w:pPr>
          <w:r>
            <w:rPr>
              <w:rFonts w:ascii="Times New Roman" w:hAnsi="Times New Roman" w:eastAsia="黑体" w:cs="Times New Roman"/>
              <w:sz w:val="32"/>
              <w:szCs w:val="32"/>
            </w:rPr>
            <w:t>目</w:t>
          </w:r>
          <w:r>
            <w:rPr>
              <w:rFonts w:hint="eastAsia" w:ascii="Times New Roman" w:hAnsi="Times New Roman" w:eastAsia="黑体" w:cs="Times New Roman"/>
              <w:sz w:val="32"/>
              <w:szCs w:val="32"/>
              <w:lang w:val="en-US" w:eastAsia="zh-CN"/>
            </w:rPr>
            <w:t xml:space="preserve">  </w:t>
          </w:r>
          <w:r>
            <w:rPr>
              <w:rFonts w:ascii="Times New Roman" w:hAnsi="Times New Roman" w:eastAsia="黑体" w:cs="Times New Roman"/>
              <w:sz w:val="32"/>
              <w:szCs w:val="32"/>
            </w:rPr>
            <w:t>录</w:t>
          </w:r>
        </w:p>
        <w:p w14:paraId="79B66768">
          <w:pPr>
            <w:spacing w:before="0" w:beforeLines="0" w:after="0" w:afterLines="0" w:line="240" w:lineRule="auto"/>
            <w:ind w:left="0" w:leftChars="0" w:right="0" w:rightChars="0" w:firstLine="0" w:firstLineChars="0"/>
            <w:jc w:val="center"/>
            <w:rPr>
              <w:rFonts w:ascii="Times New Roman" w:hAnsi="Times New Roman" w:eastAsia="黑体" w:cs="Times New Roman"/>
              <w:sz w:val="32"/>
              <w:szCs w:val="32"/>
            </w:rPr>
          </w:pPr>
        </w:p>
        <w:p w14:paraId="5E7A9935">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40" w:firstLineChars="200"/>
            <w:jc w:val="both"/>
            <w:textAlignment w:val="auto"/>
            <w:rPr>
              <w:rFonts w:ascii="Times New Roman" w:hAnsi="Times New Roman" w:eastAsia="宋体" w:cs="Times New Roman"/>
              <w:sz w:val="30"/>
              <w:szCs w:val="30"/>
            </w:rPr>
          </w:pPr>
          <w:r>
            <w:rPr>
              <w:rFonts w:ascii="Times New Roman" w:hAnsi="Times New Roman" w:eastAsia="宋体" w:cs="Times New Roman"/>
              <w:color w:val="000000"/>
              <w:kern w:val="0"/>
              <w:sz w:val="32"/>
              <w:szCs w:val="22"/>
            </w:rPr>
            <w:fldChar w:fldCharType="begin"/>
          </w:r>
          <w:r>
            <w:rPr>
              <w:rFonts w:ascii="Times New Roman" w:hAnsi="Times New Roman" w:eastAsia="宋体" w:cs="Times New Roman"/>
              <w:color w:val="000000"/>
              <w:kern w:val="0"/>
              <w:sz w:val="32"/>
              <w:szCs w:val="22"/>
            </w:rPr>
            <w:instrText xml:space="preserve">TOC \o "1-2" \h \u </w:instrText>
          </w:r>
          <w:r>
            <w:rPr>
              <w:rFonts w:ascii="Times New Roman" w:hAnsi="Times New Roman" w:eastAsia="宋体" w:cs="Times New Roman"/>
              <w:color w:val="000000"/>
              <w:kern w:val="0"/>
              <w:sz w:val="32"/>
              <w:szCs w:val="22"/>
            </w:rPr>
            <w:fldChar w:fldCharType="separate"/>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kern w:val="0"/>
              <w:sz w:val="30"/>
              <w:szCs w:val="30"/>
            </w:rPr>
            <w:instrText xml:space="preserve"> HYPERLINK \l _Toc3127 </w:instrText>
          </w:r>
          <w:r>
            <w:rPr>
              <w:rFonts w:ascii="Times New Roman" w:hAnsi="Times New Roman" w:eastAsia="宋体" w:cs="Times New Roman"/>
              <w:kern w:val="0"/>
              <w:sz w:val="30"/>
              <w:szCs w:val="30"/>
            </w:rPr>
            <w:fldChar w:fldCharType="separate"/>
          </w:r>
          <w:r>
            <w:rPr>
              <w:rFonts w:hint="eastAsia" w:ascii="Times New Roman" w:hAnsi="Times New Roman" w:eastAsia="宋体" w:cs="Times New Roman"/>
              <w:bCs w:val="0"/>
              <w:sz w:val="30"/>
              <w:szCs w:val="30"/>
            </w:rPr>
            <w:t>第一章</w:t>
          </w:r>
          <w:r>
            <w:rPr>
              <w:rFonts w:hint="eastAsia" w:ascii="Times New Roman" w:hAnsi="Times New Roman" w:eastAsia="宋体" w:cs="Times New Roman"/>
              <w:bCs w:val="0"/>
              <w:sz w:val="30"/>
              <w:szCs w:val="30"/>
              <w:lang w:val="en-US" w:eastAsia="zh-CN"/>
            </w:rPr>
            <w:t xml:space="preserve">  </w:t>
          </w:r>
          <w:r>
            <w:rPr>
              <w:rFonts w:hint="eastAsia" w:ascii="Times New Roman" w:hAnsi="Times New Roman" w:eastAsia="宋体" w:cs="Times New Roman"/>
              <w:bCs w:val="0"/>
              <w:sz w:val="30"/>
              <w:szCs w:val="30"/>
            </w:rPr>
            <w:t>绪论</w:t>
          </w:r>
          <w:r>
            <w:rPr>
              <w:rFonts w:ascii="Times New Roman" w:hAnsi="Times New Roman" w:eastAsia="宋体" w:cs="Times New Roman"/>
              <w:sz w:val="30"/>
              <w:szCs w:val="30"/>
            </w:rPr>
            <w:tab/>
          </w:r>
          <w:r>
            <w:rPr>
              <w:rFonts w:ascii="Times New Roman" w:hAnsi="Times New Roman" w:eastAsia="宋体" w:cs="Times New Roman"/>
              <w:sz w:val="30"/>
              <w:szCs w:val="30"/>
            </w:rPr>
            <w:fldChar w:fldCharType="begin"/>
          </w:r>
          <w:r>
            <w:rPr>
              <w:rFonts w:ascii="Times New Roman" w:hAnsi="Times New Roman" w:eastAsia="宋体" w:cs="Times New Roman"/>
              <w:sz w:val="30"/>
              <w:szCs w:val="30"/>
            </w:rPr>
            <w:instrText xml:space="preserve"> PAGEREF _Toc3127 \h </w:instrText>
          </w:r>
          <w:r>
            <w:rPr>
              <w:rFonts w:ascii="Times New Roman" w:hAnsi="Times New Roman" w:eastAsia="宋体" w:cs="Times New Roman"/>
              <w:sz w:val="30"/>
              <w:szCs w:val="30"/>
            </w:rPr>
            <w:fldChar w:fldCharType="separate"/>
          </w:r>
          <w:r>
            <w:rPr>
              <w:rFonts w:ascii="Times New Roman" w:hAnsi="Times New Roman" w:eastAsia="宋体" w:cs="Times New Roman"/>
              <w:sz w:val="30"/>
              <w:szCs w:val="30"/>
            </w:rPr>
            <w:t>1</w:t>
          </w:r>
          <w:r>
            <w:rPr>
              <w:rFonts w:ascii="Times New Roman" w:hAnsi="Times New Roman" w:eastAsia="宋体" w:cs="Times New Roman"/>
              <w:sz w:val="30"/>
              <w:szCs w:val="30"/>
            </w:rPr>
            <w:fldChar w:fldCharType="end"/>
          </w:r>
          <w:r>
            <w:rPr>
              <w:rFonts w:ascii="Times New Roman" w:hAnsi="Times New Roman" w:eastAsia="宋体" w:cs="Times New Roman"/>
              <w:color w:val="000000"/>
              <w:kern w:val="0"/>
              <w:sz w:val="30"/>
              <w:szCs w:val="30"/>
            </w:rPr>
            <w:fldChar w:fldCharType="end"/>
          </w:r>
        </w:p>
        <w:p w14:paraId="00F46C66">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kern w:val="0"/>
              <w:sz w:val="28"/>
              <w:szCs w:val="28"/>
            </w:rPr>
            <w:instrText xml:space="preserve"> HYPERLINK \l _Toc963 </w:instrText>
          </w:r>
          <w:r>
            <w:rPr>
              <w:rFonts w:ascii="Times New Roman" w:hAnsi="Times New Roman" w:eastAsia="宋体" w:cs="Times New Roman"/>
              <w:kern w:val="0"/>
              <w:sz w:val="28"/>
              <w:szCs w:val="28"/>
            </w:rPr>
            <w:fldChar w:fldCharType="separate"/>
          </w:r>
          <w:r>
            <w:rPr>
              <w:rFonts w:hint="eastAsia" w:ascii="Times New Roman" w:hAnsi="Times New Roman" w:eastAsia="宋体" w:cs="Times New Roman"/>
              <w:bCs w:val="0"/>
              <w:kern w:val="2"/>
              <w:sz w:val="28"/>
              <w:szCs w:val="28"/>
              <w:lang w:bidi="ar-SA"/>
            </w:rPr>
            <w:t>1.1</w:t>
          </w:r>
          <w:r>
            <w:rPr>
              <w:rFonts w:hint="eastAsia" w:ascii="Times New Roman" w:hAnsi="Times New Roman" w:eastAsia="宋体" w:cs="Times New Roman"/>
              <w:bCs w:val="0"/>
              <w:kern w:val="2"/>
              <w:sz w:val="28"/>
              <w:szCs w:val="28"/>
              <w:lang w:val="en-US" w:bidi="ar-SA"/>
            </w:rPr>
            <w:t xml:space="preserve"> </w:t>
          </w:r>
          <w:r>
            <w:rPr>
              <w:rFonts w:hint="eastAsia" w:ascii="Times New Roman" w:hAnsi="Times New Roman" w:eastAsia="宋体" w:cs="Times New Roman"/>
              <w:bCs w:val="0"/>
              <w:kern w:val="2"/>
              <w:sz w:val="28"/>
              <w:szCs w:val="28"/>
              <w:lang w:bidi="ar-SA"/>
            </w:rPr>
            <w:t>研究背景</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_Toc963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w:t>
          </w:r>
          <w:r>
            <w:rPr>
              <w:rFonts w:ascii="Times New Roman" w:hAnsi="Times New Roman" w:eastAsia="宋体" w:cs="Times New Roman"/>
              <w:sz w:val="28"/>
              <w:szCs w:val="28"/>
            </w:rPr>
            <w:fldChar w:fldCharType="end"/>
          </w:r>
          <w:r>
            <w:rPr>
              <w:rFonts w:ascii="Times New Roman" w:hAnsi="Times New Roman" w:eastAsia="宋体" w:cs="Times New Roman"/>
              <w:color w:val="000000"/>
              <w:kern w:val="0"/>
              <w:sz w:val="28"/>
              <w:szCs w:val="28"/>
            </w:rPr>
            <w:fldChar w:fldCharType="end"/>
          </w:r>
        </w:p>
        <w:p w14:paraId="56BF24BB">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kern w:val="0"/>
              <w:sz w:val="28"/>
              <w:szCs w:val="28"/>
            </w:rPr>
            <w:instrText xml:space="preserve"> HYPERLINK \l _Toc153 </w:instrText>
          </w:r>
          <w:r>
            <w:rPr>
              <w:rFonts w:ascii="Times New Roman" w:hAnsi="Times New Roman" w:eastAsia="宋体" w:cs="Times New Roman"/>
              <w:kern w:val="0"/>
              <w:sz w:val="28"/>
              <w:szCs w:val="28"/>
            </w:rPr>
            <w:fldChar w:fldCharType="separate"/>
          </w:r>
          <w:r>
            <w:rPr>
              <w:rFonts w:hint="eastAsia" w:ascii="Times New Roman" w:hAnsi="Times New Roman" w:eastAsia="宋体" w:cs="Times New Roman"/>
              <w:bCs w:val="0"/>
              <w:kern w:val="2"/>
              <w:sz w:val="28"/>
              <w:szCs w:val="28"/>
              <w:lang w:bidi="ar-SA"/>
            </w:rPr>
            <w:t>1.2</w:t>
          </w:r>
          <w:r>
            <w:rPr>
              <w:rFonts w:hint="eastAsia" w:ascii="Times New Roman" w:hAnsi="Times New Roman" w:eastAsia="宋体" w:cs="Times New Roman"/>
              <w:bCs w:val="0"/>
              <w:kern w:val="2"/>
              <w:sz w:val="28"/>
              <w:szCs w:val="28"/>
              <w:lang w:val="en-US" w:bidi="ar-SA"/>
            </w:rPr>
            <w:t xml:space="preserve"> </w:t>
          </w:r>
          <w:r>
            <w:rPr>
              <w:rFonts w:hint="eastAsia" w:ascii="Times New Roman" w:hAnsi="Times New Roman" w:eastAsia="宋体" w:cs="Times New Roman"/>
              <w:bCs w:val="0"/>
              <w:kern w:val="2"/>
              <w:sz w:val="28"/>
              <w:szCs w:val="28"/>
              <w:lang w:bidi="ar-SA"/>
            </w:rPr>
            <w:t>研究意义</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_Toc153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w:t>
          </w:r>
          <w:r>
            <w:rPr>
              <w:rFonts w:ascii="Times New Roman" w:hAnsi="Times New Roman" w:eastAsia="宋体" w:cs="Times New Roman"/>
              <w:sz w:val="28"/>
              <w:szCs w:val="28"/>
            </w:rPr>
            <w:fldChar w:fldCharType="end"/>
          </w:r>
          <w:r>
            <w:rPr>
              <w:rFonts w:ascii="Times New Roman" w:hAnsi="Times New Roman" w:eastAsia="宋体" w:cs="Times New Roman"/>
              <w:color w:val="000000"/>
              <w:kern w:val="0"/>
              <w:sz w:val="28"/>
              <w:szCs w:val="28"/>
            </w:rPr>
            <w:fldChar w:fldCharType="end"/>
          </w:r>
        </w:p>
        <w:p w14:paraId="29477356">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kern w:val="0"/>
              <w:sz w:val="28"/>
              <w:szCs w:val="28"/>
            </w:rPr>
            <w:instrText xml:space="preserve"> HYPERLINK \l _Toc29078 </w:instrText>
          </w:r>
          <w:r>
            <w:rPr>
              <w:rFonts w:ascii="Times New Roman" w:hAnsi="Times New Roman" w:eastAsia="宋体" w:cs="Times New Roman"/>
              <w:kern w:val="0"/>
              <w:sz w:val="28"/>
              <w:szCs w:val="28"/>
            </w:rPr>
            <w:fldChar w:fldCharType="separate"/>
          </w:r>
          <w:r>
            <w:rPr>
              <w:rFonts w:hint="eastAsia" w:ascii="Times New Roman" w:hAnsi="Times New Roman" w:eastAsia="宋体" w:cs="Times New Roman"/>
              <w:bCs w:val="0"/>
              <w:kern w:val="2"/>
              <w:sz w:val="28"/>
              <w:szCs w:val="28"/>
              <w:lang w:bidi="ar-SA"/>
            </w:rPr>
            <w:t>1.3</w:t>
          </w:r>
          <w:r>
            <w:rPr>
              <w:rFonts w:hint="eastAsia" w:ascii="Times New Roman" w:hAnsi="Times New Roman" w:eastAsia="宋体" w:cs="Times New Roman"/>
              <w:bCs w:val="0"/>
              <w:kern w:val="2"/>
              <w:sz w:val="28"/>
              <w:szCs w:val="28"/>
              <w:lang w:val="en-US" w:bidi="ar-SA"/>
            </w:rPr>
            <w:t xml:space="preserve"> </w:t>
          </w:r>
          <w:r>
            <w:rPr>
              <w:rFonts w:hint="eastAsia" w:ascii="Times New Roman" w:hAnsi="Times New Roman" w:eastAsia="宋体" w:cs="Times New Roman"/>
              <w:bCs w:val="0"/>
              <w:kern w:val="2"/>
              <w:sz w:val="28"/>
              <w:szCs w:val="28"/>
              <w:lang w:bidi="ar-SA"/>
            </w:rPr>
            <w:t>国内外研究现状</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_Toc29078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w:t>
          </w:r>
          <w:r>
            <w:rPr>
              <w:rFonts w:ascii="Times New Roman" w:hAnsi="Times New Roman" w:eastAsia="宋体" w:cs="Times New Roman"/>
              <w:sz w:val="28"/>
              <w:szCs w:val="28"/>
            </w:rPr>
            <w:fldChar w:fldCharType="end"/>
          </w:r>
          <w:r>
            <w:rPr>
              <w:rFonts w:ascii="Times New Roman" w:hAnsi="Times New Roman" w:eastAsia="宋体" w:cs="Times New Roman"/>
              <w:color w:val="000000"/>
              <w:kern w:val="0"/>
              <w:sz w:val="28"/>
              <w:szCs w:val="28"/>
            </w:rPr>
            <w:fldChar w:fldCharType="end"/>
          </w:r>
        </w:p>
        <w:p w14:paraId="6CCF445D">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_Toc29272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rPr>
            <w:t>第二章</w:t>
          </w:r>
          <w:r>
            <w:rPr>
              <w:rFonts w:hint="eastAsia" w:ascii="Times New Roman" w:hAnsi="Times New Roman" w:eastAsia="宋体" w:cs="Times New Roman"/>
              <w:color w:val="000000"/>
              <w:kern w:val="0"/>
              <w:sz w:val="30"/>
              <w:szCs w:val="30"/>
              <w:lang w:val="en-US" w:eastAsia="zh-CN"/>
            </w:rPr>
            <w:t xml:space="preserve">  </w:t>
          </w:r>
          <w:r>
            <w:rPr>
              <w:rFonts w:hint="eastAsia" w:ascii="Times New Roman" w:hAnsi="Times New Roman" w:eastAsia="宋体" w:cs="Times New Roman"/>
              <w:color w:val="000000"/>
              <w:kern w:val="0"/>
              <w:sz w:val="30"/>
              <w:szCs w:val="30"/>
            </w:rPr>
            <w:t>物流成本管理相关理论基础</w:t>
          </w:r>
          <w:r>
            <w:rPr>
              <w:rFonts w:ascii="Times New Roman" w:hAnsi="Times New Roman" w:eastAsia="宋体" w:cs="Times New Roman"/>
              <w:color w:val="000000"/>
              <w:kern w:val="0"/>
              <w:sz w:val="30"/>
              <w:szCs w:val="30"/>
            </w:rPr>
            <w:tab/>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PAGEREF _Toc29272 \h </w:instrText>
          </w:r>
          <w:r>
            <w:rPr>
              <w:rFonts w:ascii="Times New Roman" w:hAnsi="Times New Roman" w:eastAsia="宋体" w:cs="Times New Roman"/>
              <w:color w:val="000000"/>
              <w:kern w:val="0"/>
              <w:sz w:val="30"/>
              <w:szCs w:val="30"/>
            </w:rPr>
            <w:fldChar w:fldCharType="separate"/>
          </w:r>
          <w:r>
            <w:rPr>
              <w:rFonts w:ascii="Times New Roman" w:hAnsi="Times New Roman" w:eastAsia="宋体" w:cs="Times New Roman"/>
              <w:color w:val="000000"/>
              <w:kern w:val="0"/>
              <w:sz w:val="30"/>
              <w:szCs w:val="30"/>
            </w:rPr>
            <w:t>3</w:t>
          </w:r>
          <w:r>
            <w:rPr>
              <w:rFonts w:ascii="Times New Roman" w:hAnsi="Times New Roman" w:eastAsia="宋体" w:cs="Times New Roman"/>
              <w:color w:val="000000"/>
              <w:kern w:val="0"/>
              <w:sz w:val="30"/>
              <w:szCs w:val="30"/>
            </w:rPr>
            <w:fldChar w:fldCharType="end"/>
          </w:r>
          <w:r>
            <w:rPr>
              <w:rFonts w:ascii="Times New Roman" w:hAnsi="Times New Roman" w:eastAsia="宋体" w:cs="Times New Roman"/>
              <w:color w:val="000000"/>
              <w:kern w:val="0"/>
              <w:sz w:val="30"/>
              <w:szCs w:val="30"/>
            </w:rPr>
            <w:fldChar w:fldCharType="end"/>
          </w:r>
        </w:p>
        <w:p w14:paraId="0F5B3B2B">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_Toc5716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2.1</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物流成本的构成与特征</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_Toc5716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3</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592B711E">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_Toc4935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2.2</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价值链成本管理理论</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_Toc4935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3</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2A770E52">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_Toc3754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2.3</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精益物流与成本控制理论</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_Toc3754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3</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6E689E8C">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_Toc32509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rPr>
            <w:t>第三章</w:t>
          </w:r>
          <w:r>
            <w:rPr>
              <w:rFonts w:hint="eastAsia" w:ascii="Times New Roman" w:hAnsi="Times New Roman" w:eastAsia="宋体" w:cs="Times New Roman"/>
              <w:color w:val="000000"/>
              <w:kern w:val="0"/>
              <w:sz w:val="30"/>
              <w:szCs w:val="30"/>
              <w:lang w:val="en-US" w:eastAsia="zh-CN"/>
            </w:rPr>
            <w:t xml:space="preserve">  </w:t>
          </w:r>
          <w:r>
            <w:rPr>
              <w:rFonts w:hint="eastAsia" w:ascii="Times New Roman" w:hAnsi="Times New Roman" w:eastAsia="宋体" w:cs="Times New Roman"/>
              <w:color w:val="000000"/>
              <w:kern w:val="0"/>
              <w:sz w:val="30"/>
              <w:szCs w:val="30"/>
            </w:rPr>
            <w:t>顺丰控股物流成本管理现状及问题分析</w:t>
          </w:r>
          <w:r>
            <w:rPr>
              <w:rFonts w:ascii="Times New Roman" w:hAnsi="Times New Roman" w:eastAsia="宋体" w:cs="Times New Roman"/>
              <w:color w:val="000000"/>
              <w:kern w:val="0"/>
              <w:sz w:val="30"/>
              <w:szCs w:val="30"/>
            </w:rPr>
            <w:tab/>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PAGEREF _Toc32509 \h </w:instrText>
          </w:r>
          <w:r>
            <w:rPr>
              <w:rFonts w:ascii="Times New Roman" w:hAnsi="Times New Roman" w:eastAsia="宋体" w:cs="Times New Roman"/>
              <w:color w:val="000000"/>
              <w:kern w:val="0"/>
              <w:sz w:val="30"/>
              <w:szCs w:val="30"/>
            </w:rPr>
            <w:fldChar w:fldCharType="separate"/>
          </w:r>
          <w:r>
            <w:rPr>
              <w:rFonts w:ascii="Times New Roman" w:hAnsi="Times New Roman" w:eastAsia="宋体" w:cs="Times New Roman"/>
              <w:color w:val="000000"/>
              <w:kern w:val="0"/>
              <w:sz w:val="30"/>
              <w:szCs w:val="30"/>
            </w:rPr>
            <w:t>4</w:t>
          </w:r>
          <w:r>
            <w:rPr>
              <w:rFonts w:ascii="Times New Roman" w:hAnsi="Times New Roman" w:eastAsia="宋体" w:cs="Times New Roman"/>
              <w:color w:val="000000"/>
              <w:kern w:val="0"/>
              <w:sz w:val="30"/>
              <w:szCs w:val="30"/>
            </w:rPr>
            <w:fldChar w:fldCharType="end"/>
          </w:r>
          <w:r>
            <w:rPr>
              <w:rFonts w:ascii="Times New Roman" w:hAnsi="Times New Roman" w:eastAsia="宋体" w:cs="Times New Roman"/>
              <w:color w:val="000000"/>
              <w:kern w:val="0"/>
              <w:sz w:val="30"/>
              <w:szCs w:val="30"/>
            </w:rPr>
            <w:fldChar w:fldCharType="end"/>
          </w:r>
        </w:p>
        <w:p w14:paraId="403F634D">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_Toc6915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3.1</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顺丰控股物流运营现状概况</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_Toc6915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4</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70669863">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_Toc670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3.2</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成本核算标准不统一与结构模糊</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_Toc670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4</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48B7F05F">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_Toc20662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3.3</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运输与分拨环节的效率损失分析</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_Toc20662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5</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6E0C69A5">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_Toc28644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3.4</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跨环节信息壁垒导致的调度脱节</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_Toc28644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6</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24380E94">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_Toc28005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rPr>
            <w:t>第四章</w:t>
          </w:r>
          <w:r>
            <w:rPr>
              <w:rFonts w:hint="eastAsia" w:ascii="Times New Roman" w:hAnsi="Times New Roman" w:eastAsia="宋体" w:cs="Times New Roman"/>
              <w:color w:val="000000"/>
              <w:kern w:val="0"/>
              <w:sz w:val="30"/>
              <w:szCs w:val="30"/>
              <w:lang w:val="en-US" w:eastAsia="zh-CN"/>
            </w:rPr>
            <w:t xml:space="preserve">  </w:t>
          </w:r>
          <w:r>
            <w:rPr>
              <w:rFonts w:hint="eastAsia" w:ascii="Times New Roman" w:hAnsi="Times New Roman" w:eastAsia="宋体" w:cs="Times New Roman"/>
              <w:color w:val="000000"/>
              <w:kern w:val="0"/>
              <w:sz w:val="30"/>
              <w:szCs w:val="30"/>
            </w:rPr>
            <w:t>顺丰控股降低物流成本的优化途径设计</w:t>
          </w:r>
          <w:r>
            <w:rPr>
              <w:rFonts w:ascii="Times New Roman" w:hAnsi="Times New Roman" w:eastAsia="宋体" w:cs="Times New Roman"/>
              <w:color w:val="000000"/>
              <w:kern w:val="0"/>
              <w:sz w:val="30"/>
              <w:szCs w:val="30"/>
            </w:rPr>
            <w:tab/>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PAGEREF _Toc28005 \h </w:instrText>
          </w:r>
          <w:r>
            <w:rPr>
              <w:rFonts w:ascii="Times New Roman" w:hAnsi="Times New Roman" w:eastAsia="宋体" w:cs="Times New Roman"/>
              <w:color w:val="000000"/>
              <w:kern w:val="0"/>
              <w:sz w:val="30"/>
              <w:szCs w:val="30"/>
            </w:rPr>
            <w:fldChar w:fldCharType="separate"/>
          </w:r>
          <w:r>
            <w:rPr>
              <w:rFonts w:ascii="Times New Roman" w:hAnsi="Times New Roman" w:eastAsia="宋体" w:cs="Times New Roman"/>
              <w:color w:val="000000"/>
              <w:kern w:val="0"/>
              <w:sz w:val="30"/>
              <w:szCs w:val="30"/>
            </w:rPr>
            <w:t>8</w:t>
          </w:r>
          <w:r>
            <w:rPr>
              <w:rFonts w:ascii="Times New Roman" w:hAnsi="Times New Roman" w:eastAsia="宋体" w:cs="Times New Roman"/>
              <w:color w:val="000000"/>
              <w:kern w:val="0"/>
              <w:sz w:val="30"/>
              <w:szCs w:val="30"/>
            </w:rPr>
            <w:fldChar w:fldCharType="end"/>
          </w:r>
          <w:r>
            <w:rPr>
              <w:rFonts w:ascii="Times New Roman" w:hAnsi="Times New Roman" w:eastAsia="宋体" w:cs="Times New Roman"/>
              <w:color w:val="000000"/>
              <w:kern w:val="0"/>
              <w:sz w:val="30"/>
              <w:szCs w:val="30"/>
            </w:rPr>
            <w:fldChar w:fldCharType="end"/>
          </w:r>
        </w:p>
        <w:p w14:paraId="17DA8FBF">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_Toc15731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4.1</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构建统一的成本核算与评估体系</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_Toc15731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8</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104AA194">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_Toc9864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4.2</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运输网络优化与车辆装载率提升策略</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_Toc9864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8</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58E00A5F">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_Toc1721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4.3</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基于数据互联的数字化协同管理方案</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_Toc1721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9</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5B83FDBE">
          <w:pPr>
            <w:pStyle w:val="10"/>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left="420" w:leftChars="200" w:firstLine="980" w:firstLineChars="350"/>
            <w:jc w:val="both"/>
            <w:textAlignment w:val="auto"/>
            <w:rPr>
              <w:rFonts w:ascii="Times New Roman" w:hAnsi="Times New Roman" w:eastAsia="宋体" w:cs="Times New Roman"/>
              <w:color w:val="000000"/>
              <w:kern w:val="0"/>
              <w:sz w:val="28"/>
              <w:szCs w:val="28"/>
            </w:rPr>
          </w:pP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HYPERLINK \l _Toc24135 </w:instrText>
          </w:r>
          <w:r>
            <w:rPr>
              <w:rFonts w:ascii="Times New Roman" w:hAnsi="Times New Roman" w:eastAsia="宋体" w:cs="Times New Roman"/>
              <w:color w:val="000000"/>
              <w:kern w:val="0"/>
              <w:sz w:val="28"/>
              <w:szCs w:val="28"/>
            </w:rPr>
            <w:fldChar w:fldCharType="separate"/>
          </w:r>
          <w:r>
            <w:rPr>
              <w:rFonts w:hint="eastAsia" w:ascii="Times New Roman" w:hAnsi="Times New Roman" w:eastAsia="宋体" w:cs="Times New Roman"/>
              <w:color w:val="000000"/>
              <w:kern w:val="0"/>
              <w:sz w:val="28"/>
              <w:szCs w:val="28"/>
            </w:rPr>
            <w:t>4.4</w:t>
          </w:r>
          <w:r>
            <w:rPr>
              <w:rFonts w:hint="eastAsia" w:ascii="Times New Roman" w:hAnsi="Times New Roman" w:eastAsia="宋体" w:cs="Times New Roman"/>
              <w:color w:val="000000"/>
              <w:kern w:val="0"/>
              <w:sz w:val="28"/>
              <w:szCs w:val="28"/>
              <w:lang w:val="en-US"/>
            </w:rPr>
            <w:t xml:space="preserve"> </w:t>
          </w:r>
          <w:r>
            <w:rPr>
              <w:rFonts w:hint="eastAsia" w:ascii="Times New Roman" w:hAnsi="Times New Roman" w:eastAsia="宋体" w:cs="Times New Roman"/>
              <w:color w:val="000000"/>
              <w:kern w:val="0"/>
              <w:sz w:val="28"/>
              <w:szCs w:val="28"/>
            </w:rPr>
            <w:t>建立降本增效的考核与持续改进机制</w:t>
          </w:r>
          <w:r>
            <w:rPr>
              <w:rFonts w:ascii="Times New Roman" w:hAnsi="Times New Roman" w:eastAsia="宋体" w:cs="Times New Roman"/>
              <w:color w:val="000000"/>
              <w:kern w:val="0"/>
              <w:sz w:val="28"/>
              <w:szCs w:val="28"/>
            </w:rPr>
            <w:tab/>
          </w:r>
          <w:r>
            <w:rPr>
              <w:rFonts w:ascii="Times New Roman" w:hAnsi="Times New Roman" w:eastAsia="宋体" w:cs="Times New Roman"/>
              <w:color w:val="000000"/>
              <w:kern w:val="0"/>
              <w:sz w:val="28"/>
              <w:szCs w:val="28"/>
            </w:rPr>
            <w:fldChar w:fldCharType="begin"/>
          </w:r>
          <w:r>
            <w:rPr>
              <w:rFonts w:ascii="Times New Roman" w:hAnsi="Times New Roman" w:eastAsia="宋体" w:cs="Times New Roman"/>
              <w:color w:val="000000"/>
              <w:kern w:val="0"/>
              <w:sz w:val="28"/>
              <w:szCs w:val="28"/>
            </w:rPr>
            <w:instrText xml:space="preserve"> PAGEREF _Toc24135 \h </w:instrText>
          </w:r>
          <w:r>
            <w:rPr>
              <w:rFonts w:ascii="Times New Roman" w:hAnsi="Times New Roman" w:eastAsia="宋体" w:cs="Times New Roman"/>
              <w:color w:val="000000"/>
              <w:kern w:val="0"/>
              <w:sz w:val="28"/>
              <w:szCs w:val="28"/>
            </w:rPr>
            <w:fldChar w:fldCharType="separate"/>
          </w:r>
          <w:r>
            <w:rPr>
              <w:rFonts w:ascii="Times New Roman" w:hAnsi="Times New Roman" w:eastAsia="宋体" w:cs="Times New Roman"/>
              <w:color w:val="000000"/>
              <w:kern w:val="0"/>
              <w:sz w:val="28"/>
              <w:szCs w:val="28"/>
            </w:rPr>
            <w:t>9</w:t>
          </w:r>
          <w:r>
            <w:rPr>
              <w:rFonts w:ascii="Times New Roman" w:hAnsi="Times New Roman" w:eastAsia="宋体" w:cs="Times New Roman"/>
              <w:color w:val="000000"/>
              <w:kern w:val="0"/>
              <w:sz w:val="28"/>
              <w:szCs w:val="28"/>
            </w:rPr>
            <w:fldChar w:fldCharType="end"/>
          </w:r>
          <w:r>
            <w:rPr>
              <w:rFonts w:ascii="Times New Roman" w:hAnsi="Times New Roman" w:eastAsia="宋体" w:cs="Times New Roman"/>
              <w:color w:val="000000"/>
              <w:kern w:val="0"/>
              <w:sz w:val="28"/>
              <w:szCs w:val="28"/>
            </w:rPr>
            <w:fldChar w:fldCharType="end"/>
          </w:r>
        </w:p>
        <w:p w14:paraId="2CE432C9">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_Toc20460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rPr>
            <w:t>结</w:t>
          </w:r>
          <w:r>
            <w:rPr>
              <w:rFonts w:hint="eastAsia" w:ascii="Times New Roman" w:hAnsi="Times New Roman" w:eastAsia="宋体" w:cs="Times New Roman"/>
              <w:color w:val="000000"/>
              <w:kern w:val="0"/>
              <w:sz w:val="30"/>
              <w:szCs w:val="30"/>
              <w:lang w:val="en-US" w:eastAsia="zh-CN"/>
            </w:rPr>
            <w:t xml:space="preserve">  </w:t>
          </w:r>
          <w:r>
            <w:rPr>
              <w:rFonts w:hint="eastAsia" w:ascii="Times New Roman" w:hAnsi="Times New Roman" w:eastAsia="宋体" w:cs="Times New Roman"/>
              <w:color w:val="000000"/>
              <w:kern w:val="0"/>
              <w:sz w:val="30"/>
              <w:szCs w:val="30"/>
            </w:rPr>
            <w:t>论</w:t>
          </w:r>
          <w:r>
            <w:rPr>
              <w:rFonts w:ascii="Times New Roman" w:hAnsi="Times New Roman" w:eastAsia="宋体" w:cs="Times New Roman"/>
              <w:color w:val="000000"/>
              <w:kern w:val="0"/>
              <w:sz w:val="30"/>
              <w:szCs w:val="30"/>
            </w:rPr>
            <w:tab/>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PAGEREF _Toc20460 \h </w:instrText>
          </w:r>
          <w:r>
            <w:rPr>
              <w:rFonts w:ascii="Times New Roman" w:hAnsi="Times New Roman" w:eastAsia="宋体" w:cs="Times New Roman"/>
              <w:color w:val="000000"/>
              <w:kern w:val="0"/>
              <w:sz w:val="30"/>
              <w:szCs w:val="30"/>
            </w:rPr>
            <w:fldChar w:fldCharType="separate"/>
          </w:r>
          <w:r>
            <w:rPr>
              <w:rFonts w:ascii="Times New Roman" w:hAnsi="Times New Roman" w:eastAsia="宋体" w:cs="Times New Roman"/>
              <w:color w:val="000000"/>
              <w:kern w:val="0"/>
              <w:sz w:val="30"/>
              <w:szCs w:val="30"/>
            </w:rPr>
            <w:t>11</w:t>
          </w:r>
          <w:r>
            <w:rPr>
              <w:rFonts w:ascii="Times New Roman" w:hAnsi="Times New Roman" w:eastAsia="宋体" w:cs="Times New Roman"/>
              <w:color w:val="000000"/>
              <w:kern w:val="0"/>
              <w:sz w:val="30"/>
              <w:szCs w:val="30"/>
            </w:rPr>
            <w:fldChar w:fldCharType="end"/>
          </w:r>
          <w:r>
            <w:rPr>
              <w:rFonts w:ascii="Times New Roman" w:hAnsi="Times New Roman" w:eastAsia="宋体" w:cs="Times New Roman"/>
              <w:color w:val="000000"/>
              <w:kern w:val="0"/>
              <w:sz w:val="30"/>
              <w:szCs w:val="30"/>
            </w:rPr>
            <w:fldChar w:fldCharType="end"/>
          </w:r>
        </w:p>
        <w:p w14:paraId="3FCDAD8C">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sectPr>
              <w:footerReference r:id="rId6" w:type="first"/>
              <w:footerReference r:id="rId5" w:type="default"/>
              <w:pgSz w:w="11906" w:h="16838"/>
              <w:pgMar w:top="1531" w:right="1417" w:bottom="1701" w:left="1701" w:header="851" w:footer="992" w:gutter="0"/>
              <w:pgNumType w:fmt="upperRoman"/>
              <w:cols w:space="0" w:num="1"/>
              <w:titlePg/>
              <w:docGrid w:type="lines" w:linePitch="312" w:charSpace="0"/>
            </w:sectPr>
          </w:pPr>
        </w:p>
        <w:p w14:paraId="550C1701">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hint="eastAsia" w:ascii="Times New Roman" w:hAnsi="Times New Roman" w:eastAsia="宋体" w:cs="Times New Roman"/>
              <w:color w:val="000000"/>
              <w:kern w:val="0"/>
              <w:sz w:val="30"/>
              <w:szCs w:val="30"/>
              <w:lang w:val="en-US" w:eastAsia="zh-CN"/>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_Toc12289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lang w:val="en-US" w:eastAsia="zh-CN"/>
            </w:rPr>
            <w:t>参考文献</w:t>
          </w:r>
          <w:r>
            <w:rPr>
              <w:rFonts w:ascii="Times New Roman" w:hAnsi="Times New Roman" w:eastAsia="宋体" w:cs="Times New Roman"/>
              <w:color w:val="000000"/>
              <w:kern w:val="0"/>
              <w:sz w:val="30"/>
              <w:szCs w:val="30"/>
            </w:rPr>
            <w:tab/>
          </w:r>
          <w:r>
            <w:rPr>
              <w:rFonts w:hint="eastAsia" w:ascii="Times New Roman" w:hAnsi="Times New Roman" w:eastAsia="宋体" w:cs="Times New Roman"/>
              <w:color w:val="000000"/>
              <w:kern w:val="0"/>
              <w:sz w:val="30"/>
              <w:szCs w:val="30"/>
              <w:lang w:val="en-US" w:eastAsia="zh-CN"/>
            </w:rPr>
            <w:t>1</w:t>
          </w:r>
          <w:r>
            <w:rPr>
              <w:rFonts w:ascii="Times New Roman" w:hAnsi="Times New Roman" w:eastAsia="宋体" w:cs="Times New Roman"/>
              <w:color w:val="000000"/>
              <w:kern w:val="0"/>
              <w:sz w:val="30"/>
              <w:szCs w:val="30"/>
            </w:rPr>
            <w:fldChar w:fldCharType="end"/>
          </w:r>
          <w:r>
            <w:rPr>
              <w:rFonts w:hint="eastAsia" w:ascii="Times New Roman" w:hAnsi="Times New Roman" w:eastAsia="宋体" w:cs="Times New Roman"/>
              <w:color w:val="000000"/>
              <w:kern w:val="0"/>
              <w:sz w:val="30"/>
              <w:szCs w:val="30"/>
              <w:lang w:val="en-US" w:eastAsia="zh-CN"/>
            </w:rPr>
            <w:t>2</w:t>
          </w:r>
        </w:p>
        <w:p w14:paraId="00477798">
          <w:pPr>
            <w:pStyle w:val="9"/>
            <w:keepNext w:val="0"/>
            <w:keepLines w:val="0"/>
            <w:pageBreakBefore w:val="0"/>
            <w:widowControl w:val="0"/>
            <w:tabs>
              <w:tab w:val="right" w:leader="dot" w:pos="8788"/>
            </w:tabs>
            <w:kinsoku/>
            <w:wordWrap/>
            <w:overflowPunct/>
            <w:topLinePunct w:val="0"/>
            <w:autoSpaceDE/>
            <w:autoSpaceDN/>
            <w:bidi w:val="0"/>
            <w:adjustRightInd/>
            <w:snapToGrid/>
            <w:spacing w:beforeAutospacing="0" w:afterAutospacing="0" w:line="300" w:lineRule="auto"/>
            <w:ind w:firstLine="600" w:firstLineChars="200"/>
            <w:jc w:val="both"/>
            <w:textAlignment w:val="auto"/>
            <w:rPr>
              <w:rFonts w:ascii="Times New Roman" w:hAnsi="Times New Roman" w:eastAsia="宋体" w:cs="Times New Roman"/>
              <w:color w:val="000000"/>
              <w:kern w:val="0"/>
              <w:sz w:val="30"/>
              <w:szCs w:val="30"/>
            </w:rPr>
          </w:pP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HYPERLINK \l _Toc22247 </w:instrText>
          </w:r>
          <w:r>
            <w:rPr>
              <w:rFonts w:ascii="Times New Roman" w:hAnsi="Times New Roman" w:eastAsia="宋体" w:cs="Times New Roman"/>
              <w:color w:val="000000"/>
              <w:kern w:val="0"/>
              <w:sz w:val="30"/>
              <w:szCs w:val="30"/>
            </w:rPr>
            <w:fldChar w:fldCharType="separate"/>
          </w:r>
          <w:r>
            <w:rPr>
              <w:rFonts w:hint="eastAsia" w:ascii="Times New Roman" w:hAnsi="Times New Roman" w:eastAsia="宋体" w:cs="Times New Roman"/>
              <w:color w:val="000000"/>
              <w:kern w:val="0"/>
              <w:sz w:val="30"/>
              <w:szCs w:val="30"/>
              <w:lang w:val="en-US" w:eastAsia="zh-CN"/>
            </w:rPr>
            <w:t>致谢</w:t>
          </w:r>
          <w:r>
            <w:rPr>
              <w:rFonts w:ascii="Times New Roman" w:hAnsi="Times New Roman" w:eastAsia="宋体" w:cs="Times New Roman"/>
              <w:color w:val="000000"/>
              <w:kern w:val="0"/>
              <w:sz w:val="30"/>
              <w:szCs w:val="30"/>
            </w:rPr>
            <w:tab/>
          </w:r>
          <w:r>
            <w:rPr>
              <w:rFonts w:ascii="Times New Roman" w:hAnsi="Times New Roman" w:eastAsia="宋体" w:cs="Times New Roman"/>
              <w:color w:val="000000"/>
              <w:kern w:val="0"/>
              <w:sz w:val="30"/>
              <w:szCs w:val="30"/>
            </w:rPr>
            <w:fldChar w:fldCharType="begin"/>
          </w:r>
          <w:r>
            <w:rPr>
              <w:rFonts w:ascii="Times New Roman" w:hAnsi="Times New Roman" w:eastAsia="宋体" w:cs="Times New Roman"/>
              <w:color w:val="000000"/>
              <w:kern w:val="0"/>
              <w:sz w:val="30"/>
              <w:szCs w:val="30"/>
            </w:rPr>
            <w:instrText xml:space="preserve"> PAGEREF _Toc22247 \h </w:instrText>
          </w:r>
          <w:r>
            <w:rPr>
              <w:rFonts w:ascii="Times New Roman" w:hAnsi="Times New Roman" w:eastAsia="宋体" w:cs="Times New Roman"/>
              <w:color w:val="000000"/>
              <w:kern w:val="0"/>
              <w:sz w:val="30"/>
              <w:szCs w:val="30"/>
            </w:rPr>
            <w:fldChar w:fldCharType="separate"/>
          </w:r>
          <w:r>
            <w:rPr>
              <w:rFonts w:ascii="Times New Roman" w:hAnsi="Times New Roman" w:eastAsia="宋体" w:cs="Times New Roman"/>
              <w:color w:val="000000"/>
              <w:kern w:val="0"/>
              <w:sz w:val="30"/>
              <w:szCs w:val="30"/>
            </w:rPr>
            <w:t>13</w:t>
          </w:r>
          <w:r>
            <w:rPr>
              <w:rFonts w:ascii="Times New Roman" w:hAnsi="Times New Roman" w:eastAsia="宋体" w:cs="Times New Roman"/>
              <w:color w:val="000000"/>
              <w:kern w:val="0"/>
              <w:sz w:val="30"/>
              <w:szCs w:val="30"/>
            </w:rPr>
            <w:fldChar w:fldCharType="end"/>
          </w:r>
          <w:r>
            <w:rPr>
              <w:rFonts w:ascii="Times New Roman" w:hAnsi="Times New Roman" w:eastAsia="宋体" w:cs="Times New Roman"/>
              <w:color w:val="000000"/>
              <w:kern w:val="0"/>
              <w:sz w:val="30"/>
              <w:szCs w:val="30"/>
            </w:rPr>
            <w:fldChar w:fldCharType="end"/>
          </w:r>
        </w:p>
        <w:p w14:paraId="6E83657D">
          <w:pPr>
            <w:keepNext w:val="0"/>
            <w:keepLines w:val="0"/>
            <w:pageBreakBefore w:val="0"/>
            <w:widowControl/>
            <w:kinsoku/>
            <w:wordWrap/>
            <w:overflowPunct/>
            <w:topLinePunct w:val="0"/>
            <w:autoSpaceDE/>
            <w:autoSpaceDN/>
            <w:bidi w:val="0"/>
            <w:adjustRightInd/>
            <w:snapToGrid/>
            <w:spacing w:beforeAutospacing="0" w:afterAutospacing="0" w:line="300" w:lineRule="auto"/>
            <w:ind w:firstLine="640"/>
            <w:jc w:val="both"/>
            <w:textAlignment w:val="auto"/>
            <w:rPr>
              <w:rFonts w:ascii="Times New Roman" w:hAnsi="Times New Roman" w:eastAsia="宋体" w:cs="Times New Roman"/>
              <w:color w:val="000000"/>
              <w:kern w:val="0"/>
              <w:sz w:val="21"/>
              <w:szCs w:val="22"/>
              <w:lang w:val="en-US" w:eastAsia="zh-CN" w:bidi="ar-SA"/>
            </w:rPr>
          </w:pPr>
          <w:r>
            <w:rPr>
              <w:rFonts w:ascii="Times New Roman" w:hAnsi="Times New Roman" w:eastAsia="宋体" w:cs="Times New Roman"/>
              <w:color w:val="000000"/>
              <w:kern w:val="0"/>
              <w:szCs w:val="22"/>
            </w:rPr>
            <w:fldChar w:fldCharType="end"/>
          </w:r>
        </w:p>
      </w:sdtContent>
    </w:sdt>
    <w:p w14:paraId="7A949D0B">
      <w:pPr>
        <w:widowControl/>
        <w:spacing w:before="100" w:beforeAutospacing="1" w:after="100" w:afterAutospacing="1" w:line="360" w:lineRule="auto"/>
        <w:ind w:firstLine="640"/>
        <w:jc w:val="center"/>
        <w:rPr>
          <w:rFonts w:ascii="Times New Roman" w:hAnsi="Times New Roman" w:eastAsia="宋体" w:cs="Times New Roman"/>
          <w:color w:val="000000"/>
          <w:kern w:val="0"/>
          <w:sz w:val="21"/>
          <w:szCs w:val="22"/>
          <w:lang w:val="en-US" w:eastAsia="zh-CN" w:bidi="ar-SA"/>
        </w:rPr>
        <w:sectPr>
          <w:footerReference r:id="rId8" w:type="first"/>
          <w:footerReference r:id="rId7" w:type="default"/>
          <w:pgSz w:w="11906" w:h="16838"/>
          <w:pgMar w:top="1531" w:right="1417" w:bottom="1701" w:left="1701" w:header="851" w:footer="992" w:gutter="0"/>
          <w:pgNumType w:fmt="upperRoman"/>
          <w:cols w:space="0" w:num="1"/>
          <w:docGrid w:type="lines" w:linePitch="312" w:charSpace="0"/>
        </w:sectPr>
      </w:pPr>
    </w:p>
    <w:p w14:paraId="36EE24F2">
      <w:pPr>
        <w:pStyle w:val="3"/>
        <w:spacing w:before="156" w:beforeLines="50" w:after="156" w:afterLines="50" w:line="300" w:lineRule="auto"/>
        <w:jc w:val="center"/>
        <w:rPr>
          <w:rFonts w:hint="eastAsia" w:ascii="Times New Roman" w:hAnsi="Times New Roman" w:eastAsia="黑体" w:cs="Times New Roman"/>
          <w:b w:val="0"/>
          <w:bCs w:val="0"/>
          <w:sz w:val="30"/>
          <w:szCs w:val="30"/>
        </w:rPr>
      </w:pPr>
      <w:bookmarkStart w:id="2" w:name="_Toc3127"/>
      <w:r>
        <w:rPr>
          <w:rFonts w:hint="eastAsia" w:ascii="Times New Roman" w:hAnsi="Times New Roman" w:eastAsia="黑体" w:cs="Times New Roman"/>
          <w:b w:val="0"/>
          <w:bCs w:val="0"/>
          <w:sz w:val="30"/>
          <w:szCs w:val="30"/>
        </w:rPr>
        <w:t>第一章</w:t>
      </w:r>
      <w:r>
        <w:rPr>
          <w:rFonts w:hint="eastAsia" w:ascii="Times New Roman" w:hAnsi="Times New Roman" w:eastAsia="黑体" w:cs="Times New Roman"/>
          <w:b w:val="0"/>
          <w:bCs w:val="0"/>
          <w:sz w:val="30"/>
          <w:szCs w:val="30"/>
          <w:lang w:val="en-US" w:eastAsia="zh-CN"/>
        </w:rPr>
        <w:t xml:space="preserve">  </w:t>
      </w:r>
      <w:r>
        <w:rPr>
          <w:rFonts w:hint="eastAsia" w:ascii="Times New Roman" w:hAnsi="Times New Roman" w:eastAsia="黑体" w:cs="Times New Roman"/>
          <w:b w:val="0"/>
          <w:bCs w:val="0"/>
          <w:sz w:val="30"/>
          <w:szCs w:val="30"/>
        </w:rPr>
        <w:t>绪论</w:t>
      </w:r>
      <w:bookmarkEnd w:id="2"/>
    </w:p>
    <w:p w14:paraId="7C9791D4">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3" w:name="_Toc963"/>
      <w:r>
        <w:rPr>
          <w:rStyle w:val="16"/>
          <w:rFonts w:hint="eastAsia" w:ascii="Times New Roman" w:hAnsi="Times New Roman" w:eastAsia="黑体" w:cs="Times New Roman"/>
          <w:b w:val="0"/>
          <w:bCs w:val="0"/>
          <w:kern w:val="2"/>
          <w:sz w:val="28"/>
          <w:szCs w:val="28"/>
          <w:lang w:bidi="ar-SA"/>
        </w:rPr>
        <w:t>1.1</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研究背景</w:t>
      </w:r>
      <w:bookmarkEnd w:id="3"/>
    </w:p>
    <w:p w14:paraId="0B842497">
      <w:pPr>
        <w:spacing w:line="300" w:lineRule="auto"/>
        <w:ind w:firstLine="480" w:firstLineChars="200"/>
        <w:rPr>
          <w:rFonts w:hint="eastAsia" w:ascii="Times New Roman" w:hAnsi="Times New Roman" w:eastAsia="宋体" w:cs="Times New Roman"/>
          <w:sz w:val="24"/>
          <w:lang w:eastAsia="zh-CN"/>
        </w:rPr>
      </w:pPr>
      <w:bookmarkStart w:id="4" w:name="_Toc153"/>
      <w:r>
        <w:rPr>
          <w:rFonts w:hint="eastAsia" w:ascii="Times New Roman" w:hAnsi="Times New Roman" w:eastAsia="宋体" w:cs="Times New Roman"/>
          <w:sz w:val="24"/>
          <w:lang w:eastAsia="zh-CN"/>
        </w:rPr>
        <w:t>物流连接生产消费，供应链</w:t>
      </w:r>
      <w:r>
        <w:rPr>
          <w:rFonts w:hint="eastAsia" w:ascii="Times New Roman" w:hAnsi="Times New Roman" w:eastAsia="宋体" w:cs="Times New Roman"/>
          <w:sz w:val="24"/>
          <w:lang w:val="en-US" w:eastAsia="zh-CN"/>
        </w:rPr>
        <w:t>就会</w:t>
      </w:r>
      <w:r>
        <w:rPr>
          <w:rFonts w:hint="eastAsia" w:ascii="Times New Roman" w:hAnsi="Times New Roman" w:eastAsia="宋体" w:cs="Times New Roman"/>
          <w:sz w:val="24"/>
          <w:lang w:eastAsia="zh-CN"/>
        </w:rPr>
        <w:t>得到</w:t>
      </w:r>
      <w:r>
        <w:rPr>
          <w:rFonts w:hint="eastAsia" w:ascii="Times New Roman" w:hAnsi="Times New Roman" w:eastAsia="宋体" w:cs="Times New Roman"/>
          <w:sz w:val="24"/>
          <w:lang w:val="en-US" w:eastAsia="zh-CN"/>
        </w:rPr>
        <w:t>支柱</w:t>
      </w:r>
      <w:r>
        <w:rPr>
          <w:rFonts w:hint="eastAsia" w:ascii="Times New Roman" w:hAnsi="Times New Roman" w:eastAsia="宋体" w:cs="Times New Roman"/>
          <w:sz w:val="24"/>
          <w:lang w:eastAsia="zh-CN"/>
        </w:rPr>
        <w:t>，其成本影响</w:t>
      </w:r>
      <w:r>
        <w:rPr>
          <w:rFonts w:hint="eastAsia" w:ascii="Times New Roman" w:hAnsi="Times New Roman" w:eastAsia="宋体" w:cs="Times New Roman"/>
          <w:sz w:val="24"/>
          <w:lang w:val="en-US" w:eastAsia="zh-CN"/>
        </w:rPr>
        <w:t>到</w:t>
      </w:r>
      <w:r>
        <w:rPr>
          <w:rFonts w:hint="eastAsia" w:ascii="Times New Roman" w:hAnsi="Times New Roman" w:eastAsia="宋体" w:cs="Times New Roman"/>
          <w:sz w:val="24"/>
          <w:lang w:eastAsia="zh-CN"/>
        </w:rPr>
        <w:t>企业利润也关系客户体验。国家</w:t>
      </w:r>
      <w:r>
        <w:rPr>
          <w:rFonts w:hint="eastAsia" w:ascii="Times New Roman" w:hAnsi="Times New Roman" w:eastAsia="宋体" w:cs="Times New Roman"/>
          <w:sz w:val="24"/>
          <w:lang w:val="en-US" w:eastAsia="zh-CN"/>
        </w:rPr>
        <w:t>这几年</w:t>
      </w:r>
      <w:r>
        <w:rPr>
          <w:rFonts w:hint="eastAsia" w:ascii="Times New Roman" w:hAnsi="Times New Roman" w:eastAsia="宋体" w:cs="Times New Roman"/>
          <w:sz w:val="24"/>
          <w:lang w:eastAsia="zh-CN"/>
        </w:rPr>
        <w:t>推进降物流成本工作，提出到2027年社会物流总费用与GDP比率降</w:t>
      </w:r>
      <w:r>
        <w:rPr>
          <w:rFonts w:hint="eastAsia" w:ascii="Times New Roman" w:hAnsi="Times New Roman" w:eastAsia="宋体" w:cs="Times New Roman"/>
          <w:sz w:val="24"/>
          <w:lang w:val="en-US" w:eastAsia="zh-CN"/>
        </w:rPr>
        <w:t>到</w:t>
      </w:r>
      <w:r>
        <w:rPr>
          <w:rFonts w:hint="eastAsia" w:ascii="Times New Roman" w:hAnsi="Times New Roman" w:eastAsia="宋体" w:cs="Times New Roman"/>
          <w:sz w:val="24"/>
          <w:lang w:eastAsia="zh-CN"/>
        </w:rPr>
        <w:t>13.5%左右，运输结构优化成为</w:t>
      </w:r>
      <w:r>
        <w:rPr>
          <w:rFonts w:hint="eastAsia" w:ascii="Times New Roman" w:hAnsi="Times New Roman" w:eastAsia="宋体" w:cs="Times New Roman"/>
          <w:sz w:val="24"/>
          <w:lang w:val="en-US" w:eastAsia="zh-CN"/>
        </w:rPr>
        <w:t>主要的</w:t>
      </w:r>
      <w:r>
        <w:rPr>
          <w:rFonts w:hint="eastAsia" w:ascii="Times New Roman" w:hAnsi="Times New Roman" w:eastAsia="宋体" w:cs="Times New Roman"/>
          <w:sz w:val="24"/>
          <w:lang w:eastAsia="zh-CN"/>
        </w:rPr>
        <w:t>抓手，2024年数据显示运输组织效率提升，管理协同降本空间</w:t>
      </w:r>
      <w:r>
        <w:rPr>
          <w:rFonts w:hint="eastAsia" w:ascii="Times New Roman" w:hAnsi="Times New Roman" w:eastAsia="宋体" w:cs="Times New Roman"/>
          <w:sz w:val="24"/>
          <w:lang w:val="en-US" w:eastAsia="zh-CN"/>
        </w:rPr>
        <w:t>依然</w:t>
      </w:r>
      <w:r>
        <w:rPr>
          <w:rFonts w:hint="eastAsia" w:ascii="Times New Roman" w:hAnsi="Times New Roman" w:eastAsia="宋体" w:cs="Times New Roman"/>
          <w:sz w:val="24"/>
          <w:lang w:eastAsia="zh-CN"/>
        </w:rPr>
        <w:t>较大，快递企业、综合物流企业运营有</w:t>
      </w:r>
      <w:r>
        <w:rPr>
          <w:rFonts w:hint="eastAsia" w:ascii="Times New Roman" w:hAnsi="Times New Roman" w:eastAsia="宋体" w:cs="Times New Roman"/>
          <w:sz w:val="24"/>
          <w:lang w:val="en-US" w:eastAsia="zh-CN"/>
        </w:rPr>
        <w:t>限制</w:t>
      </w:r>
      <w:r>
        <w:rPr>
          <w:rFonts w:hint="eastAsia" w:ascii="Times New Roman" w:hAnsi="Times New Roman" w:eastAsia="宋体" w:cs="Times New Roman"/>
          <w:sz w:val="24"/>
          <w:lang w:eastAsia="zh-CN"/>
        </w:rPr>
        <w:t>，成本核算口径不</w:t>
      </w:r>
      <w:r>
        <w:rPr>
          <w:rFonts w:hint="eastAsia" w:ascii="Times New Roman" w:hAnsi="Times New Roman" w:eastAsia="宋体" w:cs="Times New Roman"/>
          <w:sz w:val="24"/>
          <w:lang w:val="en-US" w:eastAsia="zh-CN"/>
        </w:rPr>
        <w:t>一致</w:t>
      </w:r>
      <w:r>
        <w:rPr>
          <w:rFonts w:hint="eastAsia" w:ascii="Times New Roman" w:hAnsi="Times New Roman" w:eastAsia="宋体" w:cs="Times New Roman"/>
          <w:sz w:val="24"/>
          <w:lang w:eastAsia="zh-CN"/>
        </w:rPr>
        <w:t>，资源配置容易出现</w:t>
      </w:r>
      <w:r>
        <w:rPr>
          <w:rFonts w:hint="eastAsia" w:ascii="Times New Roman" w:hAnsi="Times New Roman" w:eastAsia="宋体" w:cs="Times New Roman"/>
          <w:sz w:val="24"/>
          <w:lang w:val="en-US" w:eastAsia="zh-CN"/>
        </w:rPr>
        <w:t>差距</w:t>
      </w:r>
      <w:r>
        <w:rPr>
          <w:rFonts w:hint="eastAsia" w:ascii="Times New Roman" w:hAnsi="Times New Roman" w:eastAsia="宋体" w:cs="Times New Roman"/>
          <w:sz w:val="24"/>
          <w:lang w:eastAsia="zh-CN"/>
        </w:rPr>
        <w:t>，顺丰控股网络覆盖</w:t>
      </w:r>
      <w:r>
        <w:rPr>
          <w:rFonts w:hint="eastAsia" w:ascii="Times New Roman" w:hAnsi="Times New Roman" w:eastAsia="宋体" w:cs="Times New Roman"/>
          <w:sz w:val="24"/>
          <w:lang w:val="en-US" w:eastAsia="zh-CN"/>
        </w:rPr>
        <w:t>宽泛</w:t>
      </w:r>
      <w:r>
        <w:rPr>
          <w:rFonts w:hint="eastAsia" w:ascii="Times New Roman" w:hAnsi="Times New Roman" w:eastAsia="宋体" w:cs="Times New Roman"/>
          <w:sz w:val="24"/>
          <w:lang w:eastAsia="zh-CN"/>
        </w:rPr>
        <w:t>，业务链条长，全链路推进运营数字化，数据驱动降本已有</w:t>
      </w:r>
      <w:r>
        <w:rPr>
          <w:rFonts w:hint="eastAsia" w:ascii="Times New Roman" w:hAnsi="Times New Roman" w:eastAsia="宋体" w:cs="Times New Roman"/>
          <w:sz w:val="24"/>
          <w:lang w:val="en-US" w:eastAsia="zh-CN"/>
        </w:rPr>
        <w:t>一定的</w:t>
      </w:r>
      <w:r>
        <w:rPr>
          <w:rFonts w:hint="eastAsia" w:ascii="Times New Roman" w:hAnsi="Times New Roman" w:eastAsia="宋体" w:cs="Times New Roman"/>
          <w:sz w:val="24"/>
          <w:lang w:eastAsia="zh-CN"/>
        </w:rPr>
        <w:t>基础，对成本核算精细化提出更高要求协同也要</w:t>
      </w:r>
      <w:r>
        <w:rPr>
          <w:rFonts w:hint="eastAsia" w:ascii="Times New Roman" w:hAnsi="Times New Roman" w:eastAsia="宋体" w:cs="Times New Roman"/>
          <w:sz w:val="24"/>
          <w:lang w:val="en-US" w:eastAsia="zh-CN"/>
        </w:rPr>
        <w:t>增强</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所以</w:t>
      </w:r>
      <w:r>
        <w:rPr>
          <w:rFonts w:hint="eastAsia" w:ascii="Times New Roman" w:hAnsi="Times New Roman" w:eastAsia="宋体" w:cs="Times New Roman"/>
          <w:sz w:val="24"/>
          <w:lang w:eastAsia="zh-CN"/>
        </w:rPr>
        <w:t>本课题以顺丰控股为</w:t>
      </w:r>
      <w:r>
        <w:rPr>
          <w:rFonts w:hint="eastAsia" w:ascii="Times New Roman" w:hAnsi="Times New Roman" w:eastAsia="宋体" w:cs="Times New Roman"/>
          <w:sz w:val="24"/>
          <w:lang w:val="en-US" w:eastAsia="zh-CN"/>
        </w:rPr>
        <w:t>主体</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集中</w:t>
      </w:r>
      <w:r>
        <w:rPr>
          <w:rFonts w:hint="eastAsia" w:ascii="Times New Roman" w:hAnsi="Times New Roman" w:eastAsia="宋体" w:cs="Times New Roman"/>
          <w:sz w:val="24"/>
          <w:lang w:eastAsia="zh-CN"/>
        </w:rPr>
        <w:t>运输、分拨及末端交付成本，结合数据互联网络优化，提出兼顾服务</w:t>
      </w:r>
      <w:r>
        <w:rPr>
          <w:rFonts w:hint="eastAsia" w:ascii="Times New Roman" w:hAnsi="Times New Roman" w:eastAsia="宋体" w:cs="Times New Roman"/>
          <w:sz w:val="24"/>
          <w:lang w:val="en-US" w:eastAsia="zh-CN"/>
        </w:rPr>
        <w:t>和</w:t>
      </w:r>
      <w:r>
        <w:rPr>
          <w:rFonts w:hint="eastAsia" w:ascii="Times New Roman" w:hAnsi="Times New Roman" w:eastAsia="宋体" w:cs="Times New Roman"/>
          <w:sz w:val="24"/>
          <w:lang w:eastAsia="zh-CN"/>
        </w:rPr>
        <w:t>成本方案，</w:t>
      </w:r>
      <w:r>
        <w:rPr>
          <w:rFonts w:hint="eastAsia" w:ascii="Times New Roman" w:hAnsi="Times New Roman" w:eastAsia="宋体" w:cs="Times New Roman"/>
          <w:sz w:val="24"/>
          <w:lang w:val="en-US" w:eastAsia="zh-CN"/>
        </w:rPr>
        <w:t>环</w:t>
      </w:r>
      <w:r>
        <w:rPr>
          <w:rFonts w:hint="eastAsia" w:ascii="Times New Roman" w:hAnsi="Times New Roman" w:eastAsia="宋体" w:cs="Times New Roman"/>
          <w:sz w:val="24"/>
          <w:lang w:eastAsia="zh-CN"/>
        </w:rPr>
        <w:t>绕统一核算等问题开展研究。</w:t>
      </w:r>
    </w:p>
    <w:p w14:paraId="4267B480">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r>
        <w:rPr>
          <w:rStyle w:val="16"/>
          <w:rFonts w:hint="eastAsia" w:ascii="Times New Roman" w:hAnsi="Times New Roman" w:eastAsia="黑体" w:cs="Times New Roman"/>
          <w:b w:val="0"/>
          <w:bCs w:val="0"/>
          <w:kern w:val="2"/>
          <w:sz w:val="28"/>
          <w:szCs w:val="28"/>
          <w:lang w:bidi="ar-SA"/>
        </w:rPr>
        <w:t>1.2</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研究意义</w:t>
      </w:r>
      <w:bookmarkEnd w:id="4"/>
    </w:p>
    <w:p w14:paraId="2E116620">
      <w:pPr>
        <w:spacing w:line="300" w:lineRule="auto"/>
        <w:ind w:firstLine="480" w:firstLineChars="200"/>
        <w:rPr>
          <w:rFonts w:hint="eastAsia" w:ascii="Times New Roman" w:hAnsi="Times New Roman" w:eastAsia="宋体" w:cs="Times New Roman"/>
          <w:sz w:val="24"/>
          <w:lang w:eastAsia="zh-CN"/>
        </w:rPr>
      </w:pPr>
      <w:bookmarkStart w:id="5" w:name="_Toc29078"/>
      <w:r>
        <w:rPr>
          <w:rFonts w:hint="eastAsia" w:ascii="Times New Roman" w:hAnsi="Times New Roman" w:eastAsia="宋体" w:cs="Times New Roman"/>
          <w:sz w:val="24"/>
          <w:lang w:eastAsia="zh-CN"/>
        </w:rPr>
        <w:t>以物流成本理论为基础，</w:t>
      </w:r>
      <w:r>
        <w:rPr>
          <w:rFonts w:hint="eastAsia" w:ascii="Times New Roman" w:hAnsi="Times New Roman" w:eastAsia="宋体" w:cs="Times New Roman"/>
          <w:sz w:val="24"/>
          <w:lang w:val="en-US" w:eastAsia="zh-CN"/>
        </w:rPr>
        <w:t>环</w:t>
      </w:r>
      <w:r>
        <w:rPr>
          <w:rFonts w:hint="eastAsia" w:ascii="Times New Roman" w:hAnsi="Times New Roman" w:eastAsia="宋体" w:cs="Times New Roman"/>
          <w:sz w:val="24"/>
          <w:lang w:eastAsia="zh-CN"/>
        </w:rPr>
        <w:t>绕关键作业环节建立成本识别与评价视角，成本核算纳入同一框架分析，增强成本管理可操作性，为同类企业提供分析路径。顺应国家</w:t>
      </w:r>
      <w:r>
        <w:rPr>
          <w:rFonts w:hint="eastAsia" w:ascii="Times New Roman" w:hAnsi="Times New Roman" w:eastAsia="宋体" w:cs="Times New Roman"/>
          <w:sz w:val="24"/>
          <w:lang w:val="en-US" w:eastAsia="zh-CN"/>
        </w:rPr>
        <w:t>方案政策</w:t>
      </w:r>
      <w:r>
        <w:rPr>
          <w:rFonts w:hint="eastAsia" w:ascii="Times New Roman" w:hAnsi="Times New Roman" w:eastAsia="宋体" w:cs="Times New Roman"/>
          <w:sz w:val="24"/>
          <w:lang w:eastAsia="zh-CN"/>
        </w:rPr>
        <w:t>，结合顺丰公开信息与网络</w:t>
      </w:r>
      <w:r>
        <w:rPr>
          <w:rFonts w:hint="eastAsia" w:ascii="Times New Roman" w:hAnsi="Times New Roman" w:eastAsia="宋体" w:cs="Times New Roman"/>
          <w:sz w:val="24"/>
          <w:lang w:val="en-US" w:eastAsia="zh-CN"/>
        </w:rPr>
        <w:t>特征</w:t>
      </w:r>
      <w:r>
        <w:rPr>
          <w:rFonts w:hint="eastAsia" w:ascii="Times New Roman" w:hAnsi="Times New Roman" w:eastAsia="宋体" w:cs="Times New Roman"/>
          <w:sz w:val="24"/>
          <w:lang w:eastAsia="zh-CN"/>
        </w:rPr>
        <w:t>，降本方案由此形成，统一核算口径得到实施，运输网络得以优化，数据互联提升调度效率，评估考核</w:t>
      </w:r>
      <w:r>
        <w:rPr>
          <w:rFonts w:hint="eastAsia" w:ascii="Times New Roman" w:hAnsi="Times New Roman" w:eastAsia="宋体" w:cs="Times New Roman"/>
          <w:sz w:val="24"/>
          <w:lang w:val="en-US" w:eastAsia="zh-CN"/>
        </w:rPr>
        <w:t>制度</w:t>
      </w:r>
      <w:r>
        <w:rPr>
          <w:rFonts w:hint="eastAsia" w:ascii="Times New Roman" w:hAnsi="Times New Roman" w:eastAsia="宋体" w:cs="Times New Roman"/>
          <w:sz w:val="24"/>
          <w:lang w:eastAsia="zh-CN"/>
        </w:rPr>
        <w:t>建立起来，降本措施可检验可迭代，资源利用率获得提升</w:t>
      </w:r>
      <w:r>
        <w:rPr>
          <w:rFonts w:hint="eastAsia" w:ascii="Times New Roman" w:hAnsi="Times New Roman" w:eastAsia="宋体" w:cs="Times New Roman"/>
          <w:sz w:val="24"/>
          <w:lang w:val="en-US" w:eastAsia="zh-CN"/>
        </w:rPr>
        <w:t>和</w:t>
      </w:r>
      <w:r>
        <w:rPr>
          <w:rFonts w:hint="eastAsia" w:ascii="Times New Roman" w:hAnsi="Times New Roman" w:eastAsia="宋体" w:cs="Times New Roman"/>
          <w:sz w:val="24"/>
          <w:lang w:eastAsia="zh-CN"/>
        </w:rPr>
        <w:t>服务与运营兼顾。</w:t>
      </w:r>
    </w:p>
    <w:p w14:paraId="5CF47ECC">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r>
        <w:rPr>
          <w:rStyle w:val="16"/>
          <w:rFonts w:hint="eastAsia" w:ascii="Times New Roman" w:hAnsi="Times New Roman" w:eastAsia="黑体" w:cs="Times New Roman"/>
          <w:b w:val="0"/>
          <w:bCs w:val="0"/>
          <w:kern w:val="2"/>
          <w:sz w:val="28"/>
          <w:szCs w:val="28"/>
          <w:lang w:bidi="ar-SA"/>
        </w:rPr>
        <w:t>1.3</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国内外研究现状</w:t>
      </w:r>
      <w:bookmarkEnd w:id="5"/>
    </w:p>
    <w:p w14:paraId="469B39B0">
      <w:pPr>
        <w:pStyle w:val="5"/>
        <w:bidi w:val="0"/>
        <w:rPr>
          <w:rFonts w:hint="eastAsia" w:ascii="Times New Roman" w:hAnsi="Times New Roman" w:cs="Times New Roman"/>
        </w:rPr>
      </w:pPr>
      <w:r>
        <w:rPr>
          <w:rFonts w:hint="eastAsia" w:ascii="Times New Roman" w:hAnsi="Times New Roman" w:cs="Times New Roman"/>
        </w:rPr>
        <w:t>1.3.1</w:t>
      </w:r>
      <w:r>
        <w:rPr>
          <w:rFonts w:hint="eastAsia" w:ascii="Times New Roman" w:hAnsi="Times New Roman" w:cs="Times New Roman"/>
          <w:lang w:eastAsia="zh-CN"/>
        </w:rPr>
        <w:t xml:space="preserve"> </w:t>
      </w:r>
      <w:r>
        <w:rPr>
          <w:rFonts w:hint="eastAsia" w:ascii="Times New Roman" w:hAnsi="Times New Roman" w:cs="Times New Roman"/>
        </w:rPr>
        <w:t>国内研究现状</w:t>
      </w:r>
    </w:p>
    <w:p w14:paraId="6DDCC522">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姜雨欣（2025）年分析数字化转型影响，物流企业降本增效被强调，流程在线化数据驱动管理优化资源配置。吴志林（2025）年从大数据视角探讨物流企业成本管控与财务绩效优化关系受</w:t>
      </w:r>
      <w:r>
        <w:rPr>
          <w:rFonts w:hint="eastAsia" w:ascii="Times New Roman" w:hAnsi="Times New Roman" w:eastAsia="宋体" w:cs="Times New Roman"/>
          <w:sz w:val="24"/>
          <w:lang w:val="en-US" w:eastAsia="zh-CN"/>
        </w:rPr>
        <w:t>到</w:t>
      </w:r>
      <w:r>
        <w:rPr>
          <w:rFonts w:hint="eastAsia" w:ascii="Times New Roman" w:hAnsi="Times New Roman" w:eastAsia="宋体" w:cs="Times New Roman"/>
          <w:sz w:val="24"/>
          <w:lang w:eastAsia="zh-CN"/>
        </w:rPr>
        <w:t>关注，统一数据口径过程监控提升管控</w:t>
      </w:r>
      <w:r>
        <w:rPr>
          <w:rFonts w:hint="eastAsia" w:ascii="Times New Roman" w:hAnsi="Times New Roman" w:eastAsia="宋体" w:cs="Times New Roman"/>
          <w:sz w:val="24"/>
          <w:lang w:val="en-US" w:eastAsia="zh-CN"/>
        </w:rPr>
        <w:t>的</w:t>
      </w:r>
      <w:r>
        <w:rPr>
          <w:rFonts w:hint="eastAsia" w:ascii="Times New Roman" w:hAnsi="Times New Roman" w:eastAsia="宋体" w:cs="Times New Roman"/>
          <w:sz w:val="24"/>
          <w:lang w:eastAsia="zh-CN"/>
        </w:rPr>
        <w:t>有效性，企业案例由苏利平张贝妮（2025）年梳理，成本形成机理获指出核算口径业务流程匹配支撑管理决策。李小芬石大千（2025）年讨论统仓共配治理机制，物流成本控制作用逻辑被提出协同规则组织机制提升资源利用效率。从精益思想出发邱菊张冬雪（2025）年提出，作业标准化浪费识别降低仓储成本。寇振国（2025）年归纳交通物流降本提质增效路径，场景问题牵引工具组合落地获强调。郭茜，桂如明（2025）年从物流成本链刻画结构演化特征，驱动因素得分析，识别关键成本节点提供思路。</w:t>
      </w:r>
    </w:p>
    <w:p w14:paraId="4B63570D">
      <w:pPr>
        <w:pStyle w:val="5"/>
        <w:bidi w:val="0"/>
        <w:rPr>
          <w:rFonts w:hint="eastAsia" w:ascii="Times New Roman" w:hAnsi="Times New Roman" w:cs="Times New Roman"/>
        </w:rPr>
      </w:pPr>
      <w:r>
        <w:rPr>
          <w:rFonts w:hint="eastAsia" w:ascii="Times New Roman" w:hAnsi="Times New Roman" w:cs="Times New Roman"/>
        </w:rPr>
        <w:t>1.3.2</w:t>
      </w:r>
      <w:r>
        <w:rPr>
          <w:rFonts w:hint="eastAsia" w:ascii="Times New Roman" w:hAnsi="Times New Roman" w:cs="Times New Roman"/>
          <w:lang w:eastAsia="zh-CN"/>
        </w:rPr>
        <w:t xml:space="preserve"> </w:t>
      </w:r>
      <w:r>
        <w:rPr>
          <w:rFonts w:hint="eastAsia" w:ascii="Times New Roman" w:hAnsi="Times New Roman" w:cs="Times New Roman"/>
        </w:rPr>
        <w:t>国外研究现状</w:t>
      </w:r>
    </w:p>
    <w:p w14:paraId="61C452BE">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国外研究关注精细核算支撑决策、网络优化提升运输效率、数字化协同提升跨环节响应</w:t>
      </w:r>
      <w:r>
        <w:rPr>
          <w:rFonts w:hint="eastAsia" w:ascii="Times New Roman" w:hAnsi="Times New Roman" w:eastAsia="宋体" w:cs="Times New Roman"/>
          <w:sz w:val="24"/>
          <w:lang w:val="en-US" w:eastAsia="zh-CN"/>
        </w:rPr>
        <w:t>效率</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把</w:t>
      </w:r>
      <w:r>
        <w:rPr>
          <w:rFonts w:hint="eastAsia" w:ascii="Times New Roman" w:hAnsi="Times New Roman" w:eastAsia="宋体" w:cs="Times New Roman"/>
          <w:sz w:val="24"/>
          <w:lang w:eastAsia="zh-CN"/>
        </w:rPr>
        <w:t>低碳约束纳入综合评价</w:t>
      </w:r>
      <w:r>
        <w:rPr>
          <w:rFonts w:hint="eastAsia" w:ascii="Times New Roman" w:hAnsi="Times New Roman" w:eastAsia="宋体" w:cs="Times New Roman"/>
          <w:sz w:val="24"/>
          <w:lang w:val="en-US" w:eastAsia="zh-CN"/>
        </w:rPr>
        <w:t>标准</w:t>
      </w:r>
      <w:r>
        <w:rPr>
          <w:rFonts w:hint="eastAsia" w:ascii="Times New Roman" w:hAnsi="Times New Roman" w:eastAsia="宋体" w:cs="Times New Roman"/>
          <w:sz w:val="24"/>
          <w:lang w:eastAsia="zh-CN"/>
        </w:rPr>
        <w:t>。高寒（2025）讨论物流企业内部会计成本控制的制度设计与执行改进</w:t>
      </w:r>
      <w:r>
        <w:rPr>
          <w:rFonts w:hint="eastAsia" w:ascii="Times New Roman" w:hAnsi="Times New Roman" w:eastAsia="宋体" w:cs="Times New Roman"/>
          <w:sz w:val="24"/>
          <w:lang w:val="en-US" w:eastAsia="zh-CN"/>
        </w:rPr>
        <w:t>的趋向</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重点</w:t>
      </w:r>
      <w:r>
        <w:rPr>
          <w:rFonts w:hint="eastAsia" w:ascii="Times New Roman" w:hAnsi="Times New Roman" w:eastAsia="宋体" w:cs="Times New Roman"/>
          <w:sz w:val="24"/>
          <w:lang w:eastAsia="zh-CN"/>
        </w:rPr>
        <w:t>强调规范核算与内控提升成本管理可控性。徐进立等（2025）以铁路专用线提出降低物流成本</w:t>
      </w:r>
      <w:r>
        <w:rPr>
          <w:rFonts w:hint="eastAsia" w:ascii="Times New Roman" w:hAnsi="Times New Roman" w:eastAsia="宋体" w:cs="Times New Roman"/>
          <w:sz w:val="24"/>
          <w:lang w:val="en-US" w:eastAsia="zh-CN"/>
        </w:rPr>
        <w:t>途径</w:t>
      </w:r>
      <w:r>
        <w:rPr>
          <w:rFonts w:hint="eastAsia" w:ascii="Times New Roman" w:hAnsi="Times New Roman" w:eastAsia="宋体" w:cs="Times New Roman"/>
          <w:sz w:val="24"/>
          <w:lang w:eastAsia="zh-CN"/>
        </w:rPr>
        <w:t>强调组织协同与服务机制优化释放降本</w:t>
      </w:r>
      <w:r>
        <w:rPr>
          <w:rFonts w:hint="eastAsia" w:ascii="Times New Roman" w:hAnsi="Times New Roman" w:eastAsia="宋体" w:cs="Times New Roman"/>
          <w:sz w:val="24"/>
          <w:lang w:val="en-US" w:eastAsia="zh-CN"/>
        </w:rPr>
        <w:t>结果</w:t>
      </w:r>
      <w:r>
        <w:rPr>
          <w:rFonts w:hint="eastAsia" w:ascii="Times New Roman" w:hAnsi="Times New Roman" w:eastAsia="宋体" w:cs="Times New Roman"/>
          <w:sz w:val="24"/>
          <w:lang w:eastAsia="zh-CN"/>
        </w:rPr>
        <w:t>。吴阿咪（2025）从新质生产力阐释企业物流降本机制与路径，</w:t>
      </w:r>
      <w:r>
        <w:rPr>
          <w:rFonts w:hint="eastAsia" w:ascii="Times New Roman" w:hAnsi="Times New Roman" w:eastAsia="宋体" w:cs="Times New Roman"/>
          <w:sz w:val="24"/>
          <w:lang w:val="en-US" w:eastAsia="zh-CN"/>
        </w:rPr>
        <w:t>主要</w:t>
      </w:r>
      <w:r>
        <w:rPr>
          <w:rFonts w:hint="eastAsia" w:ascii="Times New Roman" w:hAnsi="Times New Roman" w:eastAsia="宋体" w:cs="Times New Roman"/>
          <w:sz w:val="24"/>
          <w:lang w:eastAsia="zh-CN"/>
        </w:rPr>
        <w:t>强调技术应用与组织能力带动降本。刘兵（2025）讨论绿色物流理念在企业降本中的应用逻辑提出低碳运营控制能耗与损耗提升效益。</w:t>
      </w:r>
    </w:p>
    <w:p w14:paraId="5D8076C3">
      <w:pPr>
        <w:pStyle w:val="5"/>
        <w:bidi w:val="0"/>
        <w:rPr>
          <w:rFonts w:hint="eastAsia" w:ascii="Times New Roman" w:hAnsi="Times New Roman" w:cs="Times New Roman"/>
        </w:rPr>
      </w:pPr>
      <w:r>
        <w:rPr>
          <w:rFonts w:hint="eastAsia" w:ascii="Times New Roman" w:hAnsi="Times New Roman" w:cs="Times New Roman"/>
        </w:rPr>
        <w:t>1.3.3</w:t>
      </w:r>
      <w:r>
        <w:rPr>
          <w:rFonts w:hint="eastAsia" w:ascii="Times New Roman" w:hAnsi="Times New Roman" w:cs="Times New Roman"/>
          <w:lang w:eastAsia="zh-CN"/>
        </w:rPr>
        <w:t xml:space="preserve"> </w:t>
      </w:r>
      <w:r>
        <w:rPr>
          <w:rFonts w:hint="eastAsia" w:ascii="Times New Roman" w:hAnsi="Times New Roman" w:cs="Times New Roman"/>
        </w:rPr>
        <w:t>文献评述</w:t>
      </w:r>
    </w:p>
    <w:p w14:paraId="75B2F6C7">
      <w:pPr>
        <w:spacing w:line="300" w:lineRule="auto"/>
        <w:ind w:firstLine="480" w:firstLineChars="200"/>
        <w:rPr>
          <w:rFonts w:hint="eastAsia" w:ascii="Times New Roman" w:hAnsi="Times New Roman" w:eastAsia="宋体" w:cs="Times New Roman"/>
          <w:sz w:val="24"/>
          <w:lang w:val="en-US" w:eastAsia="zh-CN"/>
        </w:rPr>
        <w:sectPr>
          <w:headerReference r:id="rId9" w:type="default"/>
          <w:footerReference r:id="rId10"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宋体" w:cs="Times New Roman"/>
          <w:sz w:val="24"/>
          <w:lang w:val="en-US" w:eastAsia="zh-CN"/>
        </w:rPr>
        <w:t>已有研究从数字化驱动角度建造一个清晰框架，解释物流企业降本增效的问题，当时不同研究间存在核算口径差距，跨环节数据衔接方面也有需要加强，实际应用过程要通过成本核算体系，结合运营场景和绩效考核环节，成本压力点这样转化为改进动作形成闭环管理才算完备。</w:t>
      </w:r>
    </w:p>
    <w:p w14:paraId="20510B75">
      <w:pPr>
        <w:pStyle w:val="3"/>
        <w:spacing w:before="156" w:beforeLines="50" w:after="156" w:afterLines="50" w:line="300" w:lineRule="auto"/>
        <w:jc w:val="center"/>
        <w:rPr>
          <w:rFonts w:hint="eastAsia" w:ascii="Times New Roman" w:hAnsi="Times New Roman" w:eastAsia="黑体" w:cs="Times New Roman"/>
          <w:b w:val="0"/>
          <w:bCs w:val="0"/>
          <w:sz w:val="30"/>
          <w:szCs w:val="30"/>
        </w:rPr>
      </w:pPr>
      <w:bookmarkStart w:id="6" w:name="_Toc29272"/>
      <w:r>
        <w:rPr>
          <w:rFonts w:hint="eastAsia" w:ascii="Times New Roman" w:hAnsi="Times New Roman" w:eastAsia="黑体" w:cs="Times New Roman"/>
          <w:b w:val="0"/>
          <w:bCs w:val="0"/>
          <w:sz w:val="30"/>
          <w:szCs w:val="30"/>
        </w:rPr>
        <w:t>第二章</w:t>
      </w:r>
      <w:r>
        <w:rPr>
          <w:rFonts w:hint="eastAsia" w:ascii="Times New Roman" w:hAnsi="Times New Roman" w:eastAsia="黑体" w:cs="Times New Roman"/>
          <w:b w:val="0"/>
          <w:bCs w:val="0"/>
          <w:sz w:val="30"/>
          <w:szCs w:val="30"/>
          <w:lang w:val="en-US" w:eastAsia="zh-CN"/>
        </w:rPr>
        <w:t xml:space="preserve">  </w:t>
      </w:r>
      <w:r>
        <w:rPr>
          <w:rFonts w:hint="eastAsia" w:ascii="Times New Roman" w:hAnsi="Times New Roman" w:eastAsia="黑体" w:cs="Times New Roman"/>
          <w:b w:val="0"/>
          <w:bCs w:val="0"/>
          <w:sz w:val="30"/>
          <w:szCs w:val="30"/>
        </w:rPr>
        <w:t>物流成本管理相关理论基础</w:t>
      </w:r>
      <w:bookmarkEnd w:id="6"/>
    </w:p>
    <w:p w14:paraId="39980296">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7" w:name="_Toc5716"/>
      <w:r>
        <w:rPr>
          <w:rStyle w:val="16"/>
          <w:rFonts w:hint="eastAsia" w:ascii="Times New Roman" w:hAnsi="Times New Roman" w:eastAsia="黑体" w:cs="Times New Roman"/>
          <w:b w:val="0"/>
          <w:bCs w:val="0"/>
          <w:kern w:val="2"/>
          <w:sz w:val="28"/>
          <w:szCs w:val="28"/>
          <w:lang w:bidi="ar-SA"/>
        </w:rPr>
        <w:t>2.1</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物流成本的构成与特征</w:t>
      </w:r>
      <w:bookmarkEnd w:id="7"/>
    </w:p>
    <w:p w14:paraId="6DB46B8C">
      <w:pPr>
        <w:spacing w:line="300" w:lineRule="auto"/>
        <w:ind w:firstLine="480" w:firstLineChars="200"/>
        <w:rPr>
          <w:rFonts w:hint="eastAsia" w:ascii="Times New Roman" w:hAnsi="Times New Roman" w:eastAsia="宋体" w:cs="Times New Roman"/>
          <w:sz w:val="24"/>
          <w:lang w:eastAsia="zh-CN"/>
        </w:rPr>
      </w:pPr>
      <w:bookmarkStart w:id="8" w:name="_Toc4935"/>
      <w:r>
        <w:rPr>
          <w:rFonts w:hint="eastAsia" w:ascii="Times New Roman" w:hAnsi="Times New Roman" w:eastAsia="宋体" w:cs="Times New Roman"/>
          <w:sz w:val="24"/>
          <w:lang w:eastAsia="zh-CN"/>
        </w:rPr>
        <w:t>企业运营中物流成本构成要素包括运输、仓储、管理、装卸以及信息处理成本，运输是核心成分用于原材料产品配送，仓储成本包含仓库租金在内，管理成本则覆盖人员薪资及其它开支，装卸需要人力与设备付出成本，信息处理也涉及系统维护费用的支出。</w:t>
      </w:r>
    </w:p>
    <w:p w14:paraId="574E6FEF">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物流成本特征显现出来规模效应显著，业务量增加单位成本就会下降，外部因素影响大，燃料价格变动、劳动力成本上升、法规政策调整会引发成本波动，透明度较低，成本细节和潜在浪费难以识别控制起来很有挑战，管控上存在时效要求，及时调度优化能降低短期成本，长期规划则能优化资源配置、提升运营效率。</w:t>
      </w:r>
    </w:p>
    <w:p w14:paraId="2775D32A">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r>
        <w:rPr>
          <w:rStyle w:val="16"/>
          <w:rFonts w:hint="eastAsia" w:ascii="Times New Roman" w:hAnsi="Times New Roman" w:eastAsia="黑体" w:cs="Times New Roman"/>
          <w:b w:val="0"/>
          <w:bCs w:val="0"/>
          <w:kern w:val="2"/>
          <w:sz w:val="28"/>
          <w:szCs w:val="28"/>
          <w:lang w:bidi="ar-SA"/>
        </w:rPr>
        <w:t>2.2</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价值链成本管理理论</w:t>
      </w:r>
      <w:bookmarkEnd w:id="8"/>
    </w:p>
    <w:p w14:paraId="31898134">
      <w:pPr>
        <w:spacing w:line="300" w:lineRule="auto"/>
        <w:ind w:firstLine="480" w:firstLineChars="200"/>
        <w:rPr>
          <w:rFonts w:hint="eastAsia" w:ascii="Times New Roman" w:hAnsi="Times New Roman" w:eastAsia="宋体" w:cs="Times New Roman"/>
          <w:sz w:val="24"/>
          <w:lang w:eastAsia="zh-CN"/>
        </w:rPr>
      </w:pPr>
      <w:bookmarkStart w:id="9" w:name="_Toc3754"/>
      <w:r>
        <w:rPr>
          <w:rFonts w:hint="eastAsia" w:ascii="Times New Roman" w:hAnsi="Times New Roman" w:eastAsia="宋体" w:cs="Times New Roman"/>
          <w:sz w:val="24"/>
          <w:lang w:eastAsia="zh-CN"/>
        </w:rPr>
        <w:t xml:space="preserve">价值链成本管理理论，波特价值链是它起源，分析企业活动要找创值部分浪费环节降成本  </w:t>
      </w:r>
    </w:p>
    <w:p w14:paraId="4788BAE9">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 xml:space="preserve">物流管理领域里从原材料采购到产品交付全过程都关注，环节效率要提升，价值最大化开支减少  </w:t>
      </w:r>
    </w:p>
    <w:p w14:paraId="7A9031E3">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物流领域里企业分析各环节运作效率，改善成本高那些瓶颈环节，库存优化运输调度效率提升，成本精细化管理就实现了</w:t>
      </w:r>
    </w:p>
    <w:p w14:paraId="493A75AD">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r>
        <w:rPr>
          <w:rStyle w:val="16"/>
          <w:rFonts w:hint="eastAsia" w:ascii="Times New Roman" w:hAnsi="Times New Roman" w:eastAsia="黑体" w:cs="Times New Roman"/>
          <w:b w:val="0"/>
          <w:bCs w:val="0"/>
          <w:kern w:val="2"/>
          <w:sz w:val="28"/>
          <w:szCs w:val="28"/>
          <w:lang w:bidi="ar-SA"/>
        </w:rPr>
        <w:t>2.3</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精益物流与成本控制理论</w:t>
      </w:r>
      <w:bookmarkEnd w:id="9"/>
    </w:p>
    <w:p w14:paraId="30ADDD58">
      <w:pPr>
        <w:spacing w:line="300" w:lineRule="auto"/>
        <w:ind w:firstLine="480" w:firstLineChars="200"/>
        <w:rPr>
          <w:rFonts w:hint="eastAsia" w:ascii="Times New Roman" w:hAnsi="Times New Roman" w:eastAsia="宋体" w:cs="Times New Roman"/>
          <w:sz w:val="24"/>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宋体" w:cs="Times New Roman"/>
          <w:sz w:val="24"/>
          <w:lang w:val="en-US" w:eastAsia="zh-CN"/>
        </w:rPr>
        <w:t>精益物流来自精益生产理念它要消除浪费减少非增值活动，提升效率削减成本，强调精益思维用于物流过程优化流程提升响应速度以削减成本，物流企业必须监控操作过程去掉冗余步骤，靠流程标准化自动化信息化来降低成本，核心目标借流程改进资源优化跨部门协作实现高效运营成本节约，强调同供应商客户协同合作共享信息，避免浪费杜绝重复操作以此提升供应链响应速度竞争力。</w:t>
      </w:r>
    </w:p>
    <w:p w14:paraId="42E1EB0F">
      <w:pPr>
        <w:pStyle w:val="3"/>
        <w:spacing w:before="156" w:beforeLines="50" w:after="156" w:afterLines="50" w:line="300" w:lineRule="auto"/>
        <w:jc w:val="center"/>
        <w:rPr>
          <w:rFonts w:hint="eastAsia" w:ascii="Times New Roman" w:hAnsi="Times New Roman" w:eastAsia="黑体" w:cs="Times New Roman"/>
          <w:b w:val="0"/>
          <w:bCs w:val="0"/>
          <w:sz w:val="30"/>
          <w:szCs w:val="30"/>
        </w:rPr>
      </w:pPr>
      <w:bookmarkStart w:id="10" w:name="_Toc32509"/>
      <w:r>
        <w:rPr>
          <w:rFonts w:hint="eastAsia" w:ascii="Times New Roman" w:hAnsi="Times New Roman" w:eastAsia="黑体" w:cs="Times New Roman"/>
          <w:b w:val="0"/>
          <w:bCs w:val="0"/>
          <w:sz w:val="30"/>
          <w:szCs w:val="30"/>
        </w:rPr>
        <w:t>第三章</w:t>
      </w:r>
      <w:r>
        <w:rPr>
          <w:rFonts w:hint="eastAsia" w:ascii="Times New Roman" w:hAnsi="Times New Roman" w:eastAsia="黑体" w:cs="Times New Roman"/>
          <w:b w:val="0"/>
          <w:bCs w:val="0"/>
          <w:sz w:val="30"/>
          <w:szCs w:val="30"/>
          <w:lang w:val="en-US" w:eastAsia="zh-CN"/>
        </w:rPr>
        <w:t xml:space="preserve">  </w:t>
      </w:r>
      <w:r>
        <w:rPr>
          <w:rFonts w:hint="eastAsia" w:ascii="Times New Roman" w:hAnsi="Times New Roman" w:eastAsia="黑体" w:cs="Times New Roman"/>
          <w:b w:val="0"/>
          <w:bCs w:val="0"/>
          <w:sz w:val="30"/>
          <w:szCs w:val="30"/>
        </w:rPr>
        <w:t>顺丰控股物流成本管理现状及问题分析</w:t>
      </w:r>
      <w:bookmarkEnd w:id="10"/>
    </w:p>
    <w:p w14:paraId="0401237F">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1" w:name="_Toc6915"/>
      <w:r>
        <w:rPr>
          <w:rStyle w:val="16"/>
          <w:rFonts w:hint="eastAsia" w:ascii="Times New Roman" w:hAnsi="Times New Roman" w:eastAsia="黑体" w:cs="Times New Roman"/>
          <w:b w:val="0"/>
          <w:bCs w:val="0"/>
          <w:kern w:val="2"/>
          <w:sz w:val="28"/>
          <w:szCs w:val="28"/>
          <w:lang w:bidi="ar-SA"/>
        </w:rPr>
        <w:t>3.1</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顺丰控股物流运营现状概况</w:t>
      </w:r>
      <w:bookmarkEnd w:id="11"/>
    </w:p>
    <w:p w14:paraId="48A43A07">
      <w:pPr>
        <w:spacing w:line="300" w:lineRule="auto"/>
        <w:ind w:firstLine="480" w:firstLineChars="200"/>
        <w:rPr>
          <w:rFonts w:hint="eastAsia" w:eastAsiaTheme="minorEastAsia"/>
          <w:lang w:eastAsia="zh-CN"/>
        </w:rPr>
      </w:pPr>
      <w:r>
        <w:rPr>
          <w:rFonts w:hint="eastAsia" w:ascii="Times New Roman" w:hAnsi="Times New Roman" w:eastAsia="宋体" w:cs="Times New Roman"/>
          <w:sz w:val="24"/>
          <w:lang w:eastAsia="zh-CN"/>
        </w:rPr>
        <w:t>顺丰控股物流主业</w:t>
      </w:r>
      <w:r>
        <w:rPr>
          <w:rFonts w:hint="eastAsia" w:ascii="Times New Roman" w:hAnsi="Times New Roman" w:eastAsia="宋体" w:cs="Times New Roman"/>
          <w:sz w:val="24"/>
          <w:lang w:val="en-US" w:eastAsia="zh-CN"/>
        </w:rPr>
        <w:t>涉及了</w:t>
      </w:r>
      <w:r>
        <w:rPr>
          <w:rFonts w:hint="eastAsia" w:ascii="Times New Roman" w:hAnsi="Times New Roman" w:eastAsia="宋体" w:cs="Times New Roman"/>
          <w:sz w:val="24"/>
          <w:lang w:eastAsia="zh-CN"/>
        </w:rPr>
        <w:t>多个领域，时效快递经济快递都</w:t>
      </w:r>
      <w:r>
        <w:rPr>
          <w:rFonts w:hint="eastAsia" w:ascii="Times New Roman" w:hAnsi="Times New Roman" w:eastAsia="宋体" w:cs="Times New Roman"/>
          <w:sz w:val="24"/>
          <w:lang w:val="en-US" w:eastAsia="zh-CN"/>
        </w:rPr>
        <w:t>涉猎</w:t>
      </w:r>
      <w:r>
        <w:rPr>
          <w:rFonts w:hint="eastAsia" w:ascii="Times New Roman" w:hAnsi="Times New Roman" w:eastAsia="宋体" w:cs="Times New Roman"/>
          <w:sz w:val="24"/>
          <w:lang w:eastAsia="zh-CN"/>
        </w:rPr>
        <w:t>，还</w:t>
      </w:r>
      <w:r>
        <w:rPr>
          <w:rFonts w:hint="eastAsia" w:ascii="Times New Roman" w:hAnsi="Times New Roman" w:eastAsia="宋体" w:cs="Times New Roman"/>
          <w:sz w:val="24"/>
          <w:lang w:val="en-US" w:eastAsia="zh-CN"/>
        </w:rPr>
        <w:t>延展</w:t>
      </w:r>
      <w:r>
        <w:rPr>
          <w:rFonts w:hint="eastAsia" w:ascii="Times New Roman" w:hAnsi="Times New Roman" w:eastAsia="宋体" w:cs="Times New Roman"/>
          <w:sz w:val="24"/>
          <w:lang w:eastAsia="zh-CN"/>
        </w:rPr>
        <w:t>到快运冷运医药业务，同城即时配送也</w:t>
      </w:r>
      <w:r>
        <w:rPr>
          <w:rFonts w:hint="eastAsia" w:ascii="Times New Roman" w:hAnsi="Times New Roman" w:eastAsia="宋体" w:cs="Times New Roman"/>
          <w:sz w:val="24"/>
          <w:lang w:val="en-US" w:eastAsia="zh-CN"/>
        </w:rPr>
        <w:t>管理</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再</w:t>
      </w:r>
      <w:r>
        <w:rPr>
          <w:rFonts w:hint="eastAsia" w:ascii="Times New Roman" w:hAnsi="Times New Roman" w:eastAsia="宋体" w:cs="Times New Roman"/>
          <w:sz w:val="24"/>
          <w:lang w:eastAsia="zh-CN"/>
        </w:rPr>
        <w:t>加上供应链国际业务，这就让它能</w:t>
      </w:r>
      <w:r>
        <w:rPr>
          <w:rFonts w:hint="eastAsia" w:ascii="Times New Roman" w:hAnsi="Times New Roman" w:eastAsia="宋体" w:cs="Times New Roman"/>
          <w:sz w:val="24"/>
          <w:lang w:val="en-US" w:eastAsia="zh-CN"/>
        </w:rPr>
        <w:t>创建</w:t>
      </w:r>
      <w:r>
        <w:rPr>
          <w:rFonts w:hint="eastAsia" w:ascii="Times New Roman" w:hAnsi="Times New Roman" w:eastAsia="宋体" w:cs="Times New Roman"/>
          <w:sz w:val="24"/>
          <w:lang w:eastAsia="zh-CN"/>
        </w:rPr>
        <w:t>一个综合物流网络，支持</w:t>
      </w:r>
      <w:r>
        <w:rPr>
          <w:rFonts w:hint="eastAsia" w:ascii="Times New Roman" w:hAnsi="Times New Roman" w:eastAsia="宋体" w:cs="Times New Roman"/>
          <w:sz w:val="24"/>
          <w:lang w:val="en-US" w:eastAsia="zh-CN"/>
        </w:rPr>
        <w:t>多种</w:t>
      </w:r>
      <w:r>
        <w:rPr>
          <w:rFonts w:hint="eastAsia" w:ascii="Times New Roman" w:hAnsi="Times New Roman" w:eastAsia="宋体" w:cs="Times New Roman"/>
          <w:sz w:val="24"/>
          <w:lang w:eastAsia="zh-CN"/>
        </w:rPr>
        <w:t>服务</w:t>
      </w:r>
      <w:r>
        <w:rPr>
          <w:rFonts w:hint="eastAsia" w:ascii="Times New Roman" w:hAnsi="Times New Roman" w:eastAsia="宋体" w:cs="Times New Roman"/>
          <w:sz w:val="24"/>
          <w:lang w:val="en-US" w:eastAsia="zh-CN"/>
        </w:rPr>
        <w:t>的</w:t>
      </w:r>
      <w:r>
        <w:rPr>
          <w:rFonts w:hint="eastAsia" w:ascii="Times New Roman" w:hAnsi="Times New Roman" w:eastAsia="宋体" w:cs="Times New Roman"/>
          <w:sz w:val="24"/>
          <w:lang w:eastAsia="zh-CN"/>
        </w:rPr>
        <w:t>场景。2024年公司营收有增长，盈利能力改善了，经营活动现金流</w:t>
      </w:r>
      <w:r>
        <w:rPr>
          <w:rFonts w:hint="eastAsia" w:ascii="Times New Roman" w:hAnsi="Times New Roman" w:eastAsia="宋体" w:cs="Times New Roman"/>
          <w:sz w:val="24"/>
          <w:lang w:val="en-US" w:eastAsia="zh-CN"/>
        </w:rPr>
        <w:t>很</w:t>
      </w:r>
      <w:r>
        <w:rPr>
          <w:rFonts w:hint="eastAsia" w:ascii="Times New Roman" w:hAnsi="Times New Roman" w:eastAsia="宋体" w:cs="Times New Roman"/>
          <w:sz w:val="24"/>
          <w:lang w:eastAsia="zh-CN"/>
        </w:rPr>
        <w:t>强，规模扩张的同时经营质量没落下，具体数据可以看图3-1和表3-1。时效产品贡献</w:t>
      </w:r>
      <w:r>
        <w:rPr>
          <w:rFonts w:hint="eastAsia" w:ascii="Times New Roman" w:hAnsi="Times New Roman" w:eastAsia="宋体" w:cs="Times New Roman"/>
          <w:sz w:val="24"/>
          <w:lang w:val="en-US" w:eastAsia="zh-CN"/>
        </w:rPr>
        <w:t>为</w:t>
      </w:r>
      <w:r>
        <w:rPr>
          <w:rFonts w:hint="eastAsia" w:ascii="Times New Roman" w:hAnsi="Times New Roman" w:eastAsia="宋体" w:cs="Times New Roman"/>
          <w:sz w:val="24"/>
          <w:lang w:eastAsia="zh-CN"/>
        </w:rPr>
        <w:t>主要收入，经济产品快运这些带来规模增量，供应链国际业务占比不低，帮助公司在制造业链路跨境场景里提升服务</w:t>
      </w:r>
      <w:r>
        <w:rPr>
          <w:rFonts w:hint="eastAsia" w:ascii="Times New Roman" w:hAnsi="Times New Roman" w:eastAsia="宋体" w:cs="Times New Roman"/>
          <w:sz w:val="24"/>
          <w:lang w:val="en-US" w:eastAsia="zh-CN"/>
        </w:rPr>
        <w:t>的</w:t>
      </w:r>
      <w:r>
        <w:rPr>
          <w:rFonts w:hint="eastAsia" w:ascii="Times New Roman" w:hAnsi="Times New Roman" w:eastAsia="宋体" w:cs="Times New Roman"/>
          <w:sz w:val="24"/>
          <w:lang w:eastAsia="zh-CN"/>
        </w:rPr>
        <w:t>能力，这种业务结构带来两个影响，网络资源要在不同产品间动态配置才</w:t>
      </w:r>
      <w:r>
        <w:rPr>
          <w:rFonts w:hint="eastAsia" w:ascii="Times New Roman" w:hAnsi="Times New Roman" w:eastAsia="宋体" w:cs="Times New Roman"/>
          <w:sz w:val="24"/>
          <w:lang w:val="en-US" w:eastAsia="zh-CN"/>
        </w:rPr>
        <w:t>可以</w:t>
      </w:r>
      <w:r>
        <w:rPr>
          <w:rFonts w:hint="eastAsia" w:ascii="Times New Roman" w:hAnsi="Times New Roman" w:eastAsia="宋体" w:cs="Times New Roman"/>
          <w:sz w:val="24"/>
          <w:lang w:eastAsia="zh-CN"/>
        </w:rPr>
        <w:t>，成本核算绩效评价还得跨业务可比，</w:t>
      </w:r>
      <w:r>
        <w:rPr>
          <w:rFonts w:hint="eastAsia" w:ascii="Times New Roman" w:hAnsi="Times New Roman" w:eastAsia="宋体" w:cs="Times New Roman"/>
          <w:sz w:val="24"/>
          <w:lang w:val="en-US" w:eastAsia="zh-CN"/>
        </w:rPr>
        <w:t>要不然</w:t>
      </w:r>
      <w:r>
        <w:rPr>
          <w:rFonts w:hint="eastAsia" w:ascii="Times New Roman" w:hAnsi="Times New Roman" w:eastAsia="宋体" w:cs="Times New Roman"/>
          <w:sz w:val="24"/>
          <w:lang w:eastAsia="zh-CN"/>
        </w:rPr>
        <w:t>资源容易重复归集，分摊标准也</w:t>
      </w:r>
      <w:r>
        <w:rPr>
          <w:rFonts w:hint="eastAsia" w:ascii="Times New Roman" w:hAnsi="Times New Roman" w:eastAsia="宋体" w:cs="Times New Roman"/>
          <w:sz w:val="24"/>
          <w:lang w:val="en-US" w:eastAsia="zh-CN"/>
        </w:rPr>
        <w:t>混乱</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加大后续的</w:t>
      </w:r>
      <w:r>
        <w:rPr>
          <w:rFonts w:hint="eastAsia" w:ascii="Times New Roman" w:hAnsi="Times New Roman" w:eastAsia="宋体" w:cs="Times New Roman"/>
          <w:sz w:val="24"/>
          <w:lang w:eastAsia="zh-CN"/>
        </w:rPr>
        <w:t>成本治理</w:t>
      </w:r>
      <w:r>
        <w:rPr>
          <w:rFonts w:hint="eastAsia" w:ascii="Times New Roman" w:hAnsi="Times New Roman" w:eastAsia="宋体" w:cs="Times New Roman"/>
          <w:sz w:val="24"/>
          <w:lang w:val="en-US" w:eastAsia="zh-CN"/>
        </w:rPr>
        <w:t>。</w:t>
      </w:r>
    </w:p>
    <w:p w14:paraId="0907AD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4"/>
        </w:rPr>
      </w:pPr>
      <w:r>
        <w:rPr>
          <w:rFonts w:ascii="宋体" w:hAnsi="宋体" w:eastAsia="宋体" w:cs="宋体"/>
          <w:sz w:val="24"/>
          <w:szCs w:val="24"/>
        </w:rPr>
        <w:drawing>
          <wp:inline distT="0" distB="0" distL="114300" distR="114300">
            <wp:extent cx="4272915" cy="1910080"/>
            <wp:effectExtent l="0" t="0" r="13335" b="13970"/>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3"/>
                    <a:srcRect t="10609"/>
                    <a:stretch>
                      <a:fillRect/>
                    </a:stretch>
                  </pic:blipFill>
                  <pic:spPr>
                    <a:xfrm>
                      <a:off x="0" y="0"/>
                      <a:ext cx="4272915" cy="1910080"/>
                    </a:xfrm>
                    <a:prstGeom prst="rect">
                      <a:avLst/>
                    </a:prstGeom>
                    <a:noFill/>
                    <a:ln w="9525">
                      <a:noFill/>
                    </a:ln>
                  </pic:spPr>
                </pic:pic>
              </a:graphicData>
            </a:graphic>
          </wp:inline>
        </w:drawing>
      </w:r>
    </w:p>
    <w:p w14:paraId="14F810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图3-1  </w:t>
      </w:r>
      <w:r>
        <w:rPr>
          <w:rFonts w:hint="eastAsia" w:ascii="Times New Roman" w:hAnsi="Times New Roman" w:eastAsia="宋体" w:cs="Times New Roman"/>
          <w:sz w:val="21"/>
          <w:szCs w:val="21"/>
        </w:rPr>
        <w:t>顺丰控股经营规模与业务结构核心指标</w:t>
      </w:r>
    </w:p>
    <w:p w14:paraId="773147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p>
    <w:p w14:paraId="4F9266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表3-1</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顺丰控股经营规模与业务结构核心指标</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3139"/>
        <w:gridCol w:w="1748"/>
        <w:gridCol w:w="3450"/>
      </w:tblGrid>
      <w:tr w14:paraId="3B48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tblHeader/>
        </w:trPr>
        <w:tc>
          <w:tcPr>
            <w:tcW w:w="1882" w:type="pct"/>
            <w:tcBorders>
              <w:top w:val="single" w:color="000000" w:sz="12" w:space="0"/>
              <w:bottom w:val="single" w:color="000000" w:sz="4" w:space="0"/>
              <w:tl2br w:val="nil"/>
            </w:tcBorders>
            <w:shd w:val="clear" w:color="auto" w:fill="FFFFFF"/>
            <w:vAlign w:val="center"/>
          </w:tcPr>
          <w:p w14:paraId="7B6083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指标</w:t>
            </w:r>
          </w:p>
        </w:tc>
        <w:tc>
          <w:tcPr>
            <w:tcW w:w="1048" w:type="pct"/>
            <w:tcBorders>
              <w:top w:val="single" w:color="000000" w:sz="12" w:space="0"/>
              <w:bottom w:val="single" w:color="000000" w:sz="4" w:space="0"/>
            </w:tcBorders>
            <w:shd w:val="clear" w:color="auto" w:fill="FFFFFF"/>
            <w:vAlign w:val="center"/>
          </w:tcPr>
          <w:p w14:paraId="47143D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2024年数据</w:t>
            </w:r>
          </w:p>
        </w:tc>
        <w:tc>
          <w:tcPr>
            <w:tcW w:w="2068" w:type="pct"/>
            <w:tcBorders>
              <w:top w:val="single" w:color="000000" w:sz="12" w:space="0"/>
              <w:bottom w:val="single" w:color="000000" w:sz="4" w:space="0"/>
            </w:tcBorders>
            <w:shd w:val="clear" w:color="auto" w:fill="FFFFFF"/>
            <w:vAlign w:val="center"/>
          </w:tcPr>
          <w:p w14:paraId="1E23E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说明</w:t>
            </w:r>
          </w:p>
        </w:tc>
      </w:tr>
      <w:tr w14:paraId="6388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tcBorders>
              <w:top w:val="single" w:color="000000" w:sz="4" w:space="0"/>
            </w:tcBorders>
            <w:shd w:val="clear" w:color="auto" w:fill="FFFFFF"/>
            <w:vAlign w:val="center"/>
          </w:tcPr>
          <w:p w14:paraId="51F3D6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营业收入</w:t>
            </w:r>
          </w:p>
        </w:tc>
        <w:tc>
          <w:tcPr>
            <w:tcW w:w="1048" w:type="pct"/>
            <w:tcBorders>
              <w:top w:val="single" w:color="000000" w:sz="4" w:space="0"/>
            </w:tcBorders>
            <w:shd w:val="clear" w:color="auto" w:fill="FFFFFF"/>
            <w:vAlign w:val="center"/>
          </w:tcPr>
          <w:p w14:paraId="1ED99C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2844.20亿元</w:t>
            </w:r>
          </w:p>
        </w:tc>
        <w:tc>
          <w:tcPr>
            <w:tcW w:w="2068" w:type="pct"/>
            <w:tcBorders>
              <w:top w:val="single" w:color="000000" w:sz="4" w:space="0"/>
            </w:tcBorders>
            <w:shd w:val="clear" w:color="auto" w:fill="FFFFFF"/>
            <w:vAlign w:val="center"/>
          </w:tcPr>
          <w:p w14:paraId="3EE664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公司年度营业收入</w:t>
            </w:r>
          </w:p>
        </w:tc>
      </w:tr>
      <w:tr w14:paraId="31A8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shd w:val="clear" w:color="auto" w:fill="FFFFFF"/>
            <w:vAlign w:val="center"/>
          </w:tcPr>
          <w:p w14:paraId="6EAA9C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归母净利润</w:t>
            </w:r>
          </w:p>
        </w:tc>
        <w:tc>
          <w:tcPr>
            <w:tcW w:w="1048" w:type="pct"/>
            <w:shd w:val="clear" w:color="auto" w:fill="FFFFFF"/>
            <w:vAlign w:val="center"/>
          </w:tcPr>
          <w:p w14:paraId="5AA86F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101.70亿元</w:t>
            </w:r>
          </w:p>
        </w:tc>
        <w:tc>
          <w:tcPr>
            <w:tcW w:w="2068" w:type="pct"/>
            <w:shd w:val="clear" w:color="auto" w:fill="FFFFFF"/>
            <w:vAlign w:val="center"/>
          </w:tcPr>
          <w:p w14:paraId="205E28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盈利水平改善</w:t>
            </w:r>
          </w:p>
        </w:tc>
      </w:tr>
      <w:tr w14:paraId="2761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shd w:val="clear" w:color="auto" w:fill="FFFFFF"/>
            <w:vAlign w:val="center"/>
          </w:tcPr>
          <w:p w14:paraId="14F0EB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经营活动现金流净额</w:t>
            </w:r>
          </w:p>
        </w:tc>
        <w:tc>
          <w:tcPr>
            <w:tcW w:w="1048" w:type="pct"/>
            <w:shd w:val="clear" w:color="auto" w:fill="FFFFFF"/>
            <w:vAlign w:val="center"/>
          </w:tcPr>
          <w:p w14:paraId="420995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321.86亿元</w:t>
            </w:r>
          </w:p>
        </w:tc>
        <w:tc>
          <w:tcPr>
            <w:tcW w:w="2068" w:type="pct"/>
            <w:shd w:val="clear" w:color="auto" w:fill="FFFFFF"/>
            <w:vAlign w:val="center"/>
          </w:tcPr>
          <w:p w14:paraId="7F6AAE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现金创造能力较强</w:t>
            </w:r>
          </w:p>
        </w:tc>
      </w:tr>
      <w:tr w14:paraId="7FAE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shd w:val="clear" w:color="auto" w:fill="FFFFFF"/>
            <w:vAlign w:val="center"/>
          </w:tcPr>
          <w:p w14:paraId="0CA8AD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速运物流件量</w:t>
            </w:r>
          </w:p>
        </w:tc>
        <w:tc>
          <w:tcPr>
            <w:tcW w:w="1048" w:type="pct"/>
            <w:shd w:val="clear" w:color="auto" w:fill="FFFFFF"/>
            <w:vAlign w:val="center"/>
          </w:tcPr>
          <w:p w14:paraId="22BF17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133.3亿票</w:t>
            </w:r>
          </w:p>
        </w:tc>
        <w:tc>
          <w:tcPr>
            <w:tcW w:w="2068" w:type="pct"/>
            <w:shd w:val="clear" w:color="auto" w:fill="FFFFFF"/>
            <w:vAlign w:val="center"/>
          </w:tcPr>
          <w:p w14:paraId="552B9A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反映网络吞吐规模</w:t>
            </w:r>
          </w:p>
        </w:tc>
      </w:tr>
      <w:tr w14:paraId="4590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shd w:val="clear" w:color="auto" w:fill="FFFFFF"/>
            <w:vAlign w:val="center"/>
          </w:tcPr>
          <w:p w14:paraId="36A774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分部收入时效快递</w:t>
            </w:r>
          </w:p>
        </w:tc>
        <w:tc>
          <w:tcPr>
            <w:tcW w:w="1048" w:type="pct"/>
            <w:shd w:val="clear" w:color="auto" w:fill="FFFFFF"/>
            <w:vAlign w:val="center"/>
          </w:tcPr>
          <w:p w14:paraId="2E96DE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1222亿元</w:t>
            </w:r>
          </w:p>
        </w:tc>
        <w:tc>
          <w:tcPr>
            <w:tcW w:w="2068" w:type="pct"/>
            <w:shd w:val="clear" w:color="auto" w:fill="FFFFFF"/>
            <w:vAlign w:val="center"/>
          </w:tcPr>
          <w:p w14:paraId="255F73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高时效产品贡献</w:t>
            </w:r>
          </w:p>
        </w:tc>
      </w:tr>
      <w:tr w14:paraId="02272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882" w:type="pct"/>
            <w:shd w:val="clear" w:color="auto" w:fill="FFFFFF"/>
            <w:vAlign w:val="center"/>
          </w:tcPr>
          <w:p w14:paraId="492F0B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分部收入经济快递</w:t>
            </w:r>
          </w:p>
        </w:tc>
        <w:tc>
          <w:tcPr>
            <w:tcW w:w="1048" w:type="pct"/>
            <w:shd w:val="clear" w:color="auto" w:fill="FFFFFF"/>
            <w:vAlign w:val="center"/>
          </w:tcPr>
          <w:p w14:paraId="229F85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273亿元</w:t>
            </w:r>
          </w:p>
        </w:tc>
        <w:tc>
          <w:tcPr>
            <w:tcW w:w="2068" w:type="pct"/>
            <w:shd w:val="clear" w:color="auto" w:fill="FFFFFF"/>
            <w:vAlign w:val="center"/>
          </w:tcPr>
          <w:p w14:paraId="13610E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规模型产品支撑</w:t>
            </w:r>
          </w:p>
        </w:tc>
      </w:tr>
      <w:tr w14:paraId="1A19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shd w:val="clear" w:color="auto" w:fill="FFFFFF"/>
            <w:vAlign w:val="center"/>
          </w:tcPr>
          <w:p w14:paraId="18F1E9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分部收入快运及冷运等</w:t>
            </w:r>
          </w:p>
        </w:tc>
        <w:tc>
          <w:tcPr>
            <w:tcW w:w="1048" w:type="pct"/>
            <w:shd w:val="clear" w:color="auto" w:fill="FFFFFF"/>
            <w:vAlign w:val="center"/>
          </w:tcPr>
          <w:p w14:paraId="06730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约563亿元</w:t>
            </w:r>
          </w:p>
        </w:tc>
        <w:tc>
          <w:tcPr>
            <w:tcW w:w="2068" w:type="pct"/>
            <w:shd w:val="clear" w:color="auto" w:fill="FFFFFF"/>
            <w:vAlign w:val="center"/>
          </w:tcPr>
          <w:p w14:paraId="66FED9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含快运、冷运及医药等</w:t>
            </w:r>
          </w:p>
        </w:tc>
      </w:tr>
      <w:tr w14:paraId="2718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882" w:type="pct"/>
            <w:tcBorders>
              <w:bottom w:val="single" w:color="000000" w:sz="12" w:space="0"/>
            </w:tcBorders>
            <w:shd w:val="clear" w:color="auto" w:fill="FFFFFF"/>
            <w:vAlign w:val="center"/>
          </w:tcPr>
          <w:p w14:paraId="0879CA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分部收入供应链及国际</w:t>
            </w:r>
          </w:p>
        </w:tc>
        <w:tc>
          <w:tcPr>
            <w:tcW w:w="1048" w:type="pct"/>
            <w:tcBorders>
              <w:bottom w:val="single" w:color="000000" w:sz="12" w:space="0"/>
            </w:tcBorders>
            <w:shd w:val="clear" w:color="auto" w:fill="FFFFFF"/>
            <w:vAlign w:val="center"/>
          </w:tcPr>
          <w:p w14:paraId="16AC94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705亿元</w:t>
            </w:r>
          </w:p>
        </w:tc>
        <w:tc>
          <w:tcPr>
            <w:tcW w:w="2068" w:type="pct"/>
            <w:tcBorders>
              <w:bottom w:val="single" w:color="000000" w:sz="12" w:space="0"/>
            </w:tcBorders>
            <w:shd w:val="clear" w:color="auto" w:fill="FFFFFF"/>
            <w:vAlign w:val="center"/>
          </w:tcPr>
          <w:p w14:paraId="244C6A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跨境与供应链场景占比高</w:t>
            </w:r>
          </w:p>
        </w:tc>
      </w:tr>
    </w:tbl>
    <w:p w14:paraId="4C975645">
      <w:pPr>
        <w:spacing w:line="300" w:lineRule="auto"/>
        <w:rPr>
          <w:rFonts w:hint="eastAsia" w:ascii="Times New Roman" w:hAnsi="Times New Roman" w:eastAsia="宋体" w:cs="Times New Roman"/>
          <w:sz w:val="24"/>
        </w:rPr>
      </w:pPr>
    </w:p>
    <w:p w14:paraId="5533A450">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2" w:name="_Toc670"/>
      <w:r>
        <w:rPr>
          <w:rStyle w:val="16"/>
          <w:rFonts w:hint="eastAsia" w:ascii="Times New Roman" w:hAnsi="Times New Roman" w:eastAsia="黑体" w:cs="Times New Roman"/>
          <w:b w:val="0"/>
          <w:bCs w:val="0"/>
          <w:kern w:val="2"/>
          <w:sz w:val="28"/>
          <w:szCs w:val="28"/>
          <w:lang w:bidi="ar-SA"/>
        </w:rPr>
        <w:t>3.2</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成本核算标准不统一与结构模糊</w:t>
      </w:r>
      <w:bookmarkEnd w:id="12"/>
    </w:p>
    <w:p w14:paraId="16BEAA38">
      <w:pPr>
        <w:spacing w:line="30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顺丰控股营业成本主为人开支运输开支，场设投入外包费用信息化支等也有相当比重，成本呈网络化特征，全链成本需在直营网点网格转运场干支线运力间归集分摊，统一标准缺乏常致边界不清对标困难责任主体模糊，公司对外披露存两套口径含嘉里物流不含嘉里物流，国际货运代理业务与速运物流主业成本结构差异大，业务组合变化时口径理解结构解读就易偏移，多口径确有必要却增管理复杂度，内部核算标准与报表口径衔接不足将弱化成本结构，影响降本决策准确性，相关拆分见图3-2表3-2。</w:t>
      </w:r>
    </w:p>
    <w:p w14:paraId="65DDB7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eastAsia="宋体" w:cs="宋体"/>
          <w:sz w:val="24"/>
          <w:szCs w:val="24"/>
        </w:rPr>
      </w:pPr>
      <w:r>
        <w:rPr>
          <w:rFonts w:ascii="宋体" w:hAnsi="宋体" w:eastAsia="宋体" w:cs="宋体"/>
          <w:sz w:val="24"/>
          <w:szCs w:val="24"/>
        </w:rPr>
        <w:drawing>
          <wp:inline distT="0" distB="0" distL="114300" distR="114300">
            <wp:extent cx="2857500" cy="1615440"/>
            <wp:effectExtent l="0" t="0" r="0" b="0"/>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4"/>
                    <a:srcRect t="27311" b="16156"/>
                    <a:stretch>
                      <a:fillRect/>
                    </a:stretch>
                  </pic:blipFill>
                  <pic:spPr>
                    <a:xfrm>
                      <a:off x="0" y="0"/>
                      <a:ext cx="2857500" cy="1615440"/>
                    </a:xfrm>
                    <a:prstGeom prst="rect">
                      <a:avLst/>
                    </a:prstGeom>
                    <a:noFill/>
                    <a:ln w="9525">
                      <a:noFill/>
                    </a:ln>
                  </pic:spPr>
                </pic:pic>
              </a:graphicData>
            </a:graphic>
          </wp:inline>
        </w:drawing>
      </w:r>
    </w:p>
    <w:p w14:paraId="195E86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图3-2  顺丰控股营业成本结构分析（2024年上半年）</w:t>
      </w:r>
    </w:p>
    <w:p w14:paraId="0DCA4D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lang w:val="en-US" w:eastAsia="zh-CN"/>
        </w:rPr>
      </w:pPr>
    </w:p>
    <w:p w14:paraId="1202D2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Theme="minorEastAsia"/>
          <w:lang w:eastAsia="zh-CN"/>
        </w:rPr>
      </w:pPr>
      <w:r>
        <w:rPr>
          <w:rFonts w:hint="eastAsia" w:ascii="Times New Roman" w:hAnsi="Times New Roman" w:eastAsia="宋体" w:cs="Times New Roman"/>
          <w:sz w:val="21"/>
          <w:szCs w:val="21"/>
          <w:lang w:eastAsia="zh-CN"/>
        </w:rPr>
        <w:t>表3-</w:t>
      </w:r>
      <w:r>
        <w:rPr>
          <w:rFonts w:hint="eastAsia" w:ascii="Times New Roman" w:hAnsi="Times New Roman" w:eastAsia="宋体" w:cs="Times New Roman"/>
          <w:sz w:val="21"/>
          <w:szCs w:val="21"/>
          <w:lang w:val="en-US" w:eastAsia="zh-CN"/>
        </w:rPr>
        <w:t>2  顺丰控股营业成本结构与占收入比变化以2024年上半年为例</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294"/>
        <w:gridCol w:w="1766"/>
        <w:gridCol w:w="873"/>
        <w:gridCol w:w="1766"/>
        <w:gridCol w:w="873"/>
        <w:gridCol w:w="1768"/>
      </w:tblGrid>
      <w:tr w14:paraId="3ED9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775" w:type="pct"/>
            <w:tcBorders>
              <w:top w:val="single" w:color="000000" w:sz="12" w:space="0"/>
              <w:bottom w:val="single" w:color="000000" w:sz="4" w:space="0"/>
              <w:tl2br w:val="nil"/>
            </w:tcBorders>
            <w:shd w:val="clear" w:color="auto" w:fill="FFFFFF"/>
            <w:vAlign w:val="center"/>
          </w:tcPr>
          <w:p w14:paraId="62B1F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成本项目</w:t>
            </w:r>
          </w:p>
        </w:tc>
        <w:tc>
          <w:tcPr>
            <w:tcW w:w="1058" w:type="pct"/>
            <w:tcBorders>
              <w:top w:val="single" w:color="000000" w:sz="12" w:space="0"/>
              <w:bottom w:val="single" w:color="000000" w:sz="4" w:space="0"/>
            </w:tcBorders>
            <w:shd w:val="clear" w:color="auto" w:fill="FFFFFF"/>
            <w:vAlign w:val="center"/>
          </w:tcPr>
          <w:p w14:paraId="01C3D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2024年上半年金额</w:t>
            </w:r>
          </w:p>
        </w:tc>
        <w:tc>
          <w:tcPr>
            <w:tcW w:w="523" w:type="pct"/>
            <w:tcBorders>
              <w:top w:val="single" w:color="000000" w:sz="12" w:space="0"/>
              <w:bottom w:val="single" w:color="000000" w:sz="4" w:space="0"/>
            </w:tcBorders>
            <w:shd w:val="clear" w:color="auto" w:fill="FFFFFF"/>
            <w:vAlign w:val="center"/>
          </w:tcPr>
          <w:p w14:paraId="56222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占收入比</w:t>
            </w:r>
          </w:p>
        </w:tc>
        <w:tc>
          <w:tcPr>
            <w:tcW w:w="1058" w:type="pct"/>
            <w:tcBorders>
              <w:top w:val="single" w:color="000000" w:sz="12" w:space="0"/>
              <w:bottom w:val="single" w:color="000000" w:sz="4" w:space="0"/>
            </w:tcBorders>
            <w:shd w:val="clear" w:color="auto" w:fill="FFFFFF"/>
            <w:vAlign w:val="center"/>
          </w:tcPr>
          <w:p w14:paraId="752588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2023年上半年金额</w:t>
            </w:r>
          </w:p>
        </w:tc>
        <w:tc>
          <w:tcPr>
            <w:tcW w:w="523" w:type="pct"/>
            <w:tcBorders>
              <w:top w:val="single" w:color="000000" w:sz="12" w:space="0"/>
              <w:bottom w:val="single" w:color="000000" w:sz="4" w:space="0"/>
            </w:tcBorders>
            <w:shd w:val="clear" w:color="auto" w:fill="FFFFFF"/>
            <w:vAlign w:val="center"/>
          </w:tcPr>
          <w:p w14:paraId="48B327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占收入比</w:t>
            </w:r>
          </w:p>
        </w:tc>
        <w:tc>
          <w:tcPr>
            <w:tcW w:w="1059" w:type="pct"/>
            <w:tcBorders>
              <w:top w:val="single" w:color="000000" w:sz="12" w:space="0"/>
              <w:bottom w:val="single" w:color="000000" w:sz="4" w:space="0"/>
            </w:tcBorders>
            <w:shd w:val="clear" w:color="auto" w:fill="FFFFFF"/>
            <w:vAlign w:val="center"/>
          </w:tcPr>
          <w:p w14:paraId="2773C3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占比变动</w:t>
            </w:r>
          </w:p>
        </w:tc>
      </w:tr>
      <w:tr w14:paraId="42F42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775" w:type="pct"/>
            <w:tcBorders>
              <w:top w:val="single" w:color="000000" w:sz="4" w:space="0"/>
            </w:tcBorders>
            <w:shd w:val="clear" w:color="auto" w:fill="FFFFFF"/>
            <w:vAlign w:val="center"/>
          </w:tcPr>
          <w:p w14:paraId="49E6FC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人工成本</w:t>
            </w:r>
          </w:p>
        </w:tc>
        <w:tc>
          <w:tcPr>
            <w:tcW w:w="1058" w:type="pct"/>
            <w:tcBorders>
              <w:top w:val="single" w:color="000000" w:sz="4" w:space="0"/>
            </w:tcBorders>
            <w:shd w:val="clear" w:color="auto" w:fill="FFFFFF"/>
            <w:vAlign w:val="center"/>
          </w:tcPr>
          <w:p w14:paraId="2F84A5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535.23亿元</w:t>
            </w:r>
          </w:p>
        </w:tc>
        <w:tc>
          <w:tcPr>
            <w:tcW w:w="523" w:type="pct"/>
            <w:tcBorders>
              <w:top w:val="single" w:color="000000" w:sz="4" w:space="0"/>
            </w:tcBorders>
            <w:shd w:val="clear" w:color="auto" w:fill="FFFFFF"/>
            <w:vAlign w:val="center"/>
          </w:tcPr>
          <w:p w14:paraId="27D35B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41.11%</w:t>
            </w:r>
          </w:p>
        </w:tc>
        <w:tc>
          <w:tcPr>
            <w:tcW w:w="1058" w:type="pct"/>
            <w:tcBorders>
              <w:top w:val="single" w:color="000000" w:sz="4" w:space="0"/>
            </w:tcBorders>
            <w:shd w:val="clear" w:color="auto" w:fill="FFFFFF"/>
            <w:vAlign w:val="center"/>
          </w:tcPr>
          <w:p w14:paraId="504B7C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491.42亿元</w:t>
            </w:r>
          </w:p>
        </w:tc>
        <w:tc>
          <w:tcPr>
            <w:tcW w:w="523" w:type="pct"/>
            <w:tcBorders>
              <w:top w:val="single" w:color="000000" w:sz="4" w:space="0"/>
            </w:tcBorders>
            <w:shd w:val="clear" w:color="auto" w:fill="FFFFFF"/>
            <w:vAlign w:val="center"/>
          </w:tcPr>
          <w:p w14:paraId="0162B8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40.66%</w:t>
            </w:r>
          </w:p>
        </w:tc>
        <w:tc>
          <w:tcPr>
            <w:tcW w:w="1059" w:type="pct"/>
            <w:tcBorders>
              <w:top w:val="single" w:color="000000" w:sz="4" w:space="0"/>
            </w:tcBorders>
            <w:shd w:val="clear" w:color="auto" w:fill="FFFFFF"/>
            <w:vAlign w:val="center"/>
          </w:tcPr>
          <w:p w14:paraId="5AA6E6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上升0.45个百分点</w:t>
            </w:r>
          </w:p>
        </w:tc>
      </w:tr>
      <w:tr w14:paraId="38E7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775" w:type="pct"/>
            <w:shd w:val="clear" w:color="auto" w:fill="FFFFFF"/>
            <w:vAlign w:val="center"/>
          </w:tcPr>
          <w:p w14:paraId="0026A5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运力成本</w:t>
            </w:r>
          </w:p>
        </w:tc>
        <w:tc>
          <w:tcPr>
            <w:tcW w:w="1058" w:type="pct"/>
            <w:shd w:val="clear" w:color="auto" w:fill="FFFFFF"/>
            <w:vAlign w:val="center"/>
          </w:tcPr>
          <w:p w14:paraId="6D5EBC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427.66亿元</w:t>
            </w:r>
          </w:p>
        </w:tc>
        <w:tc>
          <w:tcPr>
            <w:tcW w:w="523" w:type="pct"/>
            <w:shd w:val="clear" w:color="auto" w:fill="FFFFFF"/>
            <w:vAlign w:val="center"/>
          </w:tcPr>
          <w:p w14:paraId="2101D7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32.84%</w:t>
            </w:r>
          </w:p>
        </w:tc>
        <w:tc>
          <w:tcPr>
            <w:tcW w:w="1058" w:type="pct"/>
            <w:shd w:val="clear" w:color="auto" w:fill="FFFFFF"/>
            <w:vAlign w:val="center"/>
          </w:tcPr>
          <w:p w14:paraId="01FE32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393.08亿元</w:t>
            </w:r>
          </w:p>
        </w:tc>
        <w:tc>
          <w:tcPr>
            <w:tcW w:w="523" w:type="pct"/>
            <w:shd w:val="clear" w:color="auto" w:fill="FFFFFF"/>
            <w:vAlign w:val="center"/>
          </w:tcPr>
          <w:p w14:paraId="6703B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32.52%</w:t>
            </w:r>
          </w:p>
        </w:tc>
        <w:tc>
          <w:tcPr>
            <w:tcW w:w="1059" w:type="pct"/>
            <w:shd w:val="clear" w:color="auto" w:fill="FFFFFF"/>
            <w:vAlign w:val="center"/>
          </w:tcPr>
          <w:p w14:paraId="4B18AE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上升0.32个百分点</w:t>
            </w:r>
          </w:p>
        </w:tc>
      </w:tr>
      <w:tr w14:paraId="599B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775" w:type="pct"/>
            <w:shd w:val="clear" w:color="auto" w:fill="FFFFFF"/>
            <w:vAlign w:val="center"/>
          </w:tcPr>
          <w:p w14:paraId="02DBE7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其他经营成本</w:t>
            </w:r>
          </w:p>
        </w:tc>
        <w:tc>
          <w:tcPr>
            <w:tcW w:w="1058" w:type="pct"/>
            <w:shd w:val="clear" w:color="auto" w:fill="FFFFFF"/>
            <w:vAlign w:val="center"/>
          </w:tcPr>
          <w:p w14:paraId="414235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158.80亿元</w:t>
            </w:r>
          </w:p>
        </w:tc>
        <w:tc>
          <w:tcPr>
            <w:tcW w:w="523" w:type="pct"/>
            <w:shd w:val="clear" w:color="auto" w:fill="FFFFFF"/>
            <w:vAlign w:val="center"/>
          </w:tcPr>
          <w:p w14:paraId="119660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12.20%</w:t>
            </w:r>
          </w:p>
        </w:tc>
        <w:tc>
          <w:tcPr>
            <w:tcW w:w="1058" w:type="pct"/>
            <w:shd w:val="clear" w:color="auto" w:fill="FFFFFF"/>
            <w:vAlign w:val="center"/>
          </w:tcPr>
          <w:p w14:paraId="0D59F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161.17亿元</w:t>
            </w:r>
          </w:p>
        </w:tc>
        <w:tc>
          <w:tcPr>
            <w:tcW w:w="523" w:type="pct"/>
            <w:shd w:val="clear" w:color="auto" w:fill="FFFFFF"/>
            <w:vAlign w:val="center"/>
          </w:tcPr>
          <w:p w14:paraId="587CCE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13.34%</w:t>
            </w:r>
          </w:p>
        </w:tc>
        <w:tc>
          <w:tcPr>
            <w:tcW w:w="1059" w:type="pct"/>
            <w:shd w:val="clear" w:color="auto" w:fill="FFFFFF"/>
            <w:vAlign w:val="center"/>
          </w:tcPr>
          <w:p w14:paraId="760BA9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下降1.14个百分点</w:t>
            </w:r>
          </w:p>
        </w:tc>
      </w:tr>
      <w:tr w14:paraId="53617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775" w:type="pct"/>
            <w:tcBorders>
              <w:bottom w:val="single" w:color="000000" w:sz="12" w:space="0"/>
            </w:tcBorders>
            <w:shd w:val="clear" w:color="auto" w:fill="FFFFFF"/>
            <w:vAlign w:val="center"/>
          </w:tcPr>
          <w:p w14:paraId="122C4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毛利额</w:t>
            </w:r>
          </w:p>
        </w:tc>
        <w:tc>
          <w:tcPr>
            <w:tcW w:w="1058" w:type="pct"/>
            <w:tcBorders>
              <w:bottom w:val="single" w:color="000000" w:sz="12" w:space="0"/>
            </w:tcBorders>
            <w:shd w:val="clear" w:color="auto" w:fill="FFFFFF"/>
            <w:vAlign w:val="center"/>
          </w:tcPr>
          <w:p w14:paraId="49A294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180.39亿元</w:t>
            </w:r>
          </w:p>
        </w:tc>
        <w:tc>
          <w:tcPr>
            <w:tcW w:w="523" w:type="pct"/>
            <w:tcBorders>
              <w:bottom w:val="single" w:color="000000" w:sz="12" w:space="0"/>
            </w:tcBorders>
            <w:shd w:val="clear" w:color="auto" w:fill="FFFFFF"/>
            <w:vAlign w:val="center"/>
          </w:tcPr>
          <w:p w14:paraId="45FD17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13.85%</w:t>
            </w:r>
          </w:p>
        </w:tc>
        <w:tc>
          <w:tcPr>
            <w:tcW w:w="1058" w:type="pct"/>
            <w:tcBorders>
              <w:bottom w:val="single" w:color="000000" w:sz="12" w:space="0"/>
            </w:tcBorders>
            <w:shd w:val="clear" w:color="auto" w:fill="FFFFFF"/>
            <w:vAlign w:val="center"/>
          </w:tcPr>
          <w:p w14:paraId="565E16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162.89亿元</w:t>
            </w:r>
          </w:p>
        </w:tc>
        <w:tc>
          <w:tcPr>
            <w:tcW w:w="523" w:type="pct"/>
            <w:tcBorders>
              <w:bottom w:val="single" w:color="000000" w:sz="12" w:space="0"/>
            </w:tcBorders>
            <w:shd w:val="clear" w:color="auto" w:fill="FFFFFF"/>
            <w:vAlign w:val="center"/>
          </w:tcPr>
          <w:p w14:paraId="1871C3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13.48%</w:t>
            </w:r>
          </w:p>
        </w:tc>
        <w:tc>
          <w:tcPr>
            <w:tcW w:w="1059" w:type="pct"/>
            <w:tcBorders>
              <w:bottom w:val="single" w:color="000000" w:sz="12" w:space="0"/>
            </w:tcBorders>
            <w:shd w:val="clear" w:color="auto" w:fill="FFFFFF"/>
            <w:vAlign w:val="center"/>
          </w:tcPr>
          <w:p w14:paraId="223FE0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上升0.37个百分点</w:t>
            </w:r>
          </w:p>
        </w:tc>
      </w:tr>
    </w:tbl>
    <w:p w14:paraId="1FC47E60">
      <w:pPr>
        <w:spacing w:line="300" w:lineRule="auto"/>
        <w:ind w:firstLine="420" w:firstLineChars="200"/>
        <w:rPr>
          <w:rFonts w:hint="eastAsia" w:eastAsiaTheme="minorEastAsia"/>
          <w:lang w:eastAsia="zh-CN"/>
        </w:rPr>
      </w:pPr>
    </w:p>
    <w:p w14:paraId="4F474854">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3" w:name="_Toc20662"/>
      <w:r>
        <w:rPr>
          <w:rStyle w:val="16"/>
          <w:rFonts w:hint="eastAsia" w:ascii="Times New Roman" w:hAnsi="Times New Roman" w:eastAsia="黑体" w:cs="Times New Roman"/>
          <w:b w:val="0"/>
          <w:bCs w:val="0"/>
          <w:kern w:val="2"/>
          <w:sz w:val="28"/>
          <w:szCs w:val="28"/>
          <w:lang w:bidi="ar-SA"/>
        </w:rPr>
        <w:t>3.3</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运输与分拨环节的效率损失分析</w:t>
      </w:r>
      <w:bookmarkEnd w:id="13"/>
    </w:p>
    <w:p w14:paraId="2CB1354F">
      <w:pPr>
        <w:spacing w:line="30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运输与分拨属于顺丰控股成本链关键环节，干线同支线组织效率受其决定，中转次数等因素会改变单位成本，公司报告显示路由优化等活动带来运力成本改善，燃油价格与运力结构调整也带来成本影响，由此可见运输分拨效率高低，业务波动能否匹配线路规划与资源结构十分关键。</w:t>
      </w:r>
    </w:p>
    <w:p w14:paraId="527F539D">
      <w:pPr>
        <w:spacing w:line="30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从网络实际运行看，公司枢纽与场内自动化投入持续，鄂州货运枢纽航班规模与中转效率改善信息得到披露，特定场景中转效率可达网络平均数的多倍，末端小哥行驶距离呈下降状态，此类数据反映节点效率优势已在部分环节形成，向全网复制仍属必要，若节点衔接不畅或线路规划未调整，运输等待等环节将形成隐性损失，关键运营效率线索见图3-3、表3-3。</w:t>
      </w:r>
    </w:p>
    <w:p w14:paraId="0B3A600C">
      <w:pPr>
        <w:spacing w:line="300" w:lineRule="auto"/>
        <w:ind w:firstLine="480" w:firstLineChars="200"/>
        <w:rPr>
          <w:rFonts w:hint="eastAsia" w:ascii="Times New Roman" w:hAnsi="Times New Roman" w:eastAsia="宋体" w:cs="Times New Roman"/>
          <w:sz w:val="24"/>
        </w:rPr>
      </w:pPr>
      <w:r>
        <w:rPr>
          <w:rFonts w:ascii="宋体" w:hAnsi="宋体" w:eastAsia="宋体" w:cs="宋体"/>
          <w:sz w:val="24"/>
          <w:szCs w:val="24"/>
        </w:rPr>
        <w:drawing>
          <wp:inline distT="0" distB="0" distL="114300" distR="114300">
            <wp:extent cx="2857500" cy="2154555"/>
            <wp:effectExtent l="0" t="0" r="0" b="0"/>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5"/>
                    <a:srcRect t="14578" b="10022"/>
                    <a:stretch>
                      <a:fillRect/>
                    </a:stretch>
                  </pic:blipFill>
                  <pic:spPr>
                    <a:xfrm>
                      <a:off x="0" y="0"/>
                      <a:ext cx="2857500" cy="2154555"/>
                    </a:xfrm>
                    <a:prstGeom prst="rect">
                      <a:avLst/>
                    </a:prstGeom>
                    <a:noFill/>
                    <a:ln w="9525">
                      <a:noFill/>
                    </a:ln>
                  </pic:spPr>
                </pic:pic>
              </a:graphicData>
            </a:graphic>
          </wp:inline>
        </w:drawing>
      </w:r>
    </w:p>
    <w:p w14:paraId="43B948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图3-3  </w:t>
      </w:r>
      <w:r>
        <w:rPr>
          <w:rFonts w:hint="eastAsia" w:ascii="Times New Roman" w:hAnsi="Times New Roman" w:eastAsia="宋体" w:cs="Times New Roman"/>
          <w:sz w:val="21"/>
          <w:szCs w:val="21"/>
        </w:rPr>
        <w:t>运输与分拨环节效率指标</w:t>
      </w:r>
    </w:p>
    <w:p w14:paraId="7A4629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p>
    <w:p w14:paraId="3B1E13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表3-3</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运输与分拨环节效率线索指标汇总</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790"/>
        <w:gridCol w:w="3406"/>
        <w:gridCol w:w="3144"/>
      </w:tblGrid>
      <w:tr w14:paraId="52885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1073" w:type="pct"/>
            <w:tcBorders>
              <w:top w:val="single" w:color="000000" w:sz="12" w:space="0"/>
              <w:bottom w:val="single" w:color="000000" w:sz="4" w:space="0"/>
              <w:tl2br w:val="nil"/>
            </w:tcBorders>
            <w:shd w:val="clear" w:color="auto" w:fill="FFFFFF"/>
            <w:vAlign w:val="center"/>
          </w:tcPr>
          <w:p w14:paraId="75FB16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指标</w:t>
            </w:r>
          </w:p>
        </w:tc>
        <w:tc>
          <w:tcPr>
            <w:tcW w:w="2041" w:type="pct"/>
            <w:tcBorders>
              <w:top w:val="single" w:color="000000" w:sz="12" w:space="0"/>
              <w:bottom w:val="single" w:color="000000" w:sz="4" w:space="0"/>
            </w:tcBorders>
            <w:shd w:val="clear" w:color="auto" w:fill="FFFFFF"/>
            <w:vAlign w:val="center"/>
          </w:tcPr>
          <w:p w14:paraId="6A806D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最新披露数据</w:t>
            </w:r>
          </w:p>
        </w:tc>
        <w:tc>
          <w:tcPr>
            <w:tcW w:w="1884" w:type="pct"/>
            <w:tcBorders>
              <w:top w:val="single" w:color="000000" w:sz="12" w:space="0"/>
              <w:bottom w:val="single" w:color="000000" w:sz="4" w:space="0"/>
            </w:tcBorders>
            <w:shd w:val="clear" w:color="auto" w:fill="FFFFFF"/>
            <w:vAlign w:val="center"/>
          </w:tcPr>
          <w:p w14:paraId="17D8E6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反映的效率含义</w:t>
            </w:r>
          </w:p>
        </w:tc>
      </w:tr>
      <w:tr w14:paraId="2BB6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73" w:type="pct"/>
            <w:tcBorders>
              <w:top w:val="single" w:color="000000" w:sz="4" w:space="0"/>
            </w:tcBorders>
            <w:shd w:val="clear" w:color="auto" w:fill="FFFFFF"/>
            <w:vAlign w:val="center"/>
          </w:tcPr>
          <w:p w14:paraId="4DB255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运力成本占收入比</w:t>
            </w:r>
          </w:p>
        </w:tc>
        <w:tc>
          <w:tcPr>
            <w:tcW w:w="2041" w:type="pct"/>
            <w:tcBorders>
              <w:top w:val="single" w:color="000000" w:sz="4" w:space="0"/>
            </w:tcBorders>
            <w:shd w:val="clear" w:color="auto" w:fill="FFFFFF"/>
            <w:vAlign w:val="center"/>
          </w:tcPr>
          <w:p w14:paraId="509D38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32.84%2024年上半年</w:t>
            </w:r>
          </w:p>
        </w:tc>
        <w:tc>
          <w:tcPr>
            <w:tcW w:w="1884" w:type="pct"/>
            <w:tcBorders>
              <w:top w:val="single" w:color="000000" w:sz="4" w:space="0"/>
            </w:tcBorders>
            <w:shd w:val="clear" w:color="auto" w:fill="FFFFFF"/>
            <w:vAlign w:val="center"/>
          </w:tcPr>
          <w:p w14:paraId="4B8E37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运力对单位成本影响显著</w:t>
            </w:r>
          </w:p>
        </w:tc>
      </w:tr>
      <w:tr w14:paraId="6BF5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73" w:type="pct"/>
            <w:shd w:val="clear" w:color="auto" w:fill="FFFFFF"/>
            <w:vAlign w:val="center"/>
          </w:tcPr>
          <w:p w14:paraId="65FEBF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人工成本占收入比</w:t>
            </w:r>
          </w:p>
        </w:tc>
        <w:tc>
          <w:tcPr>
            <w:tcW w:w="2041" w:type="pct"/>
            <w:shd w:val="clear" w:color="auto" w:fill="FFFFFF"/>
            <w:vAlign w:val="center"/>
          </w:tcPr>
          <w:p w14:paraId="450A52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41.11%2024年上半年</w:t>
            </w:r>
          </w:p>
        </w:tc>
        <w:tc>
          <w:tcPr>
            <w:tcW w:w="1884" w:type="pct"/>
            <w:shd w:val="clear" w:color="auto" w:fill="FFFFFF"/>
            <w:vAlign w:val="center"/>
          </w:tcPr>
          <w:p w14:paraId="17B6D9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场内与末端作业对成本敏感</w:t>
            </w:r>
          </w:p>
        </w:tc>
      </w:tr>
      <w:tr w14:paraId="0F84D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73" w:type="pct"/>
            <w:shd w:val="clear" w:color="auto" w:fill="FFFFFF"/>
            <w:vAlign w:val="center"/>
          </w:tcPr>
          <w:p w14:paraId="4616A3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鄂州枢纽年度航班量</w:t>
            </w:r>
          </w:p>
        </w:tc>
        <w:tc>
          <w:tcPr>
            <w:tcW w:w="2041" w:type="pct"/>
            <w:shd w:val="clear" w:color="auto" w:fill="FFFFFF"/>
            <w:vAlign w:val="center"/>
          </w:tcPr>
          <w:p w14:paraId="08D4AC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国内超24000班国际超3000班2024年</w:t>
            </w:r>
          </w:p>
        </w:tc>
        <w:tc>
          <w:tcPr>
            <w:tcW w:w="1884" w:type="pct"/>
            <w:shd w:val="clear" w:color="auto" w:fill="FFFFFF"/>
            <w:vAlign w:val="center"/>
          </w:tcPr>
          <w:p w14:paraId="12BF43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枢纽吞吐提升对时效与衔接要求更高</w:t>
            </w:r>
          </w:p>
        </w:tc>
      </w:tr>
      <w:tr w14:paraId="4DD3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73" w:type="pct"/>
            <w:shd w:val="clear" w:color="auto" w:fill="FFFFFF"/>
            <w:vAlign w:val="center"/>
          </w:tcPr>
          <w:p w14:paraId="0D97C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部分场景中转效率</w:t>
            </w:r>
          </w:p>
        </w:tc>
        <w:tc>
          <w:tcPr>
            <w:tcW w:w="2041" w:type="pct"/>
            <w:shd w:val="clear" w:color="auto" w:fill="FFFFFF"/>
            <w:vAlign w:val="center"/>
          </w:tcPr>
          <w:p w14:paraId="4E742A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可达网络平均水平4倍</w:t>
            </w:r>
          </w:p>
        </w:tc>
        <w:tc>
          <w:tcPr>
            <w:tcW w:w="1884" w:type="pct"/>
            <w:shd w:val="clear" w:color="auto" w:fill="FFFFFF"/>
            <w:vAlign w:val="center"/>
          </w:tcPr>
          <w:p w14:paraId="77059B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枢纽与场站效率存在可复制空间</w:t>
            </w:r>
          </w:p>
        </w:tc>
      </w:tr>
      <w:tr w14:paraId="127B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73" w:type="pct"/>
            <w:tcBorders>
              <w:bottom w:val="single" w:color="000000" w:sz="12" w:space="0"/>
            </w:tcBorders>
            <w:shd w:val="clear" w:color="auto" w:fill="FFFFFF"/>
            <w:vAlign w:val="center"/>
          </w:tcPr>
          <w:p w14:paraId="74E941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末端小哥行驶距离</w:t>
            </w:r>
          </w:p>
        </w:tc>
        <w:tc>
          <w:tcPr>
            <w:tcW w:w="2041" w:type="pct"/>
            <w:tcBorders>
              <w:bottom w:val="single" w:color="000000" w:sz="12" w:space="0"/>
            </w:tcBorders>
            <w:shd w:val="clear" w:color="auto" w:fill="FFFFFF"/>
            <w:vAlign w:val="center"/>
          </w:tcPr>
          <w:p w14:paraId="576A7C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降低38%</w:t>
            </w:r>
          </w:p>
        </w:tc>
        <w:tc>
          <w:tcPr>
            <w:tcW w:w="1884" w:type="pct"/>
            <w:tcBorders>
              <w:bottom w:val="single" w:color="000000" w:sz="12" w:space="0"/>
            </w:tcBorders>
            <w:shd w:val="clear" w:color="auto" w:fill="FFFFFF"/>
            <w:vAlign w:val="center"/>
          </w:tcPr>
          <w:p w14:paraId="3B01A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路由与站点布局影响末端效率</w:t>
            </w:r>
          </w:p>
        </w:tc>
      </w:tr>
    </w:tbl>
    <w:p w14:paraId="393057AE">
      <w:pPr>
        <w:spacing w:line="300" w:lineRule="auto"/>
        <w:rPr>
          <w:rFonts w:hint="eastAsia" w:eastAsiaTheme="minorEastAsia"/>
          <w:lang w:eastAsia="zh-CN"/>
        </w:rPr>
      </w:pPr>
    </w:p>
    <w:p w14:paraId="31112CBC">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4" w:name="_Toc28644"/>
      <w:r>
        <w:rPr>
          <w:rStyle w:val="16"/>
          <w:rFonts w:hint="eastAsia" w:ascii="Times New Roman" w:hAnsi="Times New Roman" w:eastAsia="黑体" w:cs="Times New Roman"/>
          <w:b w:val="0"/>
          <w:bCs w:val="0"/>
          <w:kern w:val="2"/>
          <w:sz w:val="28"/>
          <w:szCs w:val="28"/>
          <w:lang w:bidi="ar-SA"/>
        </w:rPr>
        <w:t>3.4</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跨环节信息壁垒导致的调度脱节</w:t>
      </w:r>
      <w:bookmarkEnd w:id="14"/>
    </w:p>
    <w:p w14:paraId="27CC5A83">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顺丰控股业务覆盖国内外，多条产品线协同运行，经营数据按地区和分部披露，跨场景运营特征体现明显，跨场景运营要求订单预测线路计划场地排班末端派送共享货量结构时效承诺等关键数据，数据存在壁垒就会调度脱节，干线产能等不匹配问题出现，公开披露信息显示，公司速运物流与供应链及国际业务并行，海外收入占比稳定，鄂州枢纽开通航线，国际货运吞吐量增长推动，业务扩展使链路变长节点增多组织协同更复杂，信息系统无法跨环节实时共享口径一致，计划执行不同步造成，等待成本上升资源利用率下降，相关跨环节复杂度指标，见图3-4表3-4。</w:t>
      </w:r>
    </w:p>
    <w:p w14:paraId="12B3E0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4"/>
        </w:rPr>
      </w:pPr>
      <w:r>
        <w:rPr>
          <w:rFonts w:ascii="宋体" w:hAnsi="宋体" w:eastAsia="宋体" w:cs="宋体"/>
          <w:sz w:val="24"/>
          <w:szCs w:val="24"/>
        </w:rPr>
        <w:drawing>
          <wp:inline distT="0" distB="0" distL="114300" distR="114300">
            <wp:extent cx="4171315" cy="1823720"/>
            <wp:effectExtent l="0" t="0" r="635" b="5080"/>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16"/>
                    <a:srcRect t="12577"/>
                    <a:stretch>
                      <a:fillRect/>
                    </a:stretch>
                  </pic:blipFill>
                  <pic:spPr>
                    <a:xfrm>
                      <a:off x="0" y="0"/>
                      <a:ext cx="4171315" cy="1823720"/>
                    </a:xfrm>
                    <a:prstGeom prst="rect">
                      <a:avLst/>
                    </a:prstGeom>
                    <a:noFill/>
                    <a:ln w="9525">
                      <a:noFill/>
                    </a:ln>
                  </pic:spPr>
                </pic:pic>
              </a:graphicData>
            </a:graphic>
          </wp:inline>
        </w:drawing>
      </w:r>
    </w:p>
    <w:p w14:paraId="07706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图3-4  </w:t>
      </w:r>
      <w:r>
        <w:rPr>
          <w:rFonts w:hint="eastAsia" w:ascii="Times New Roman" w:hAnsi="Times New Roman" w:eastAsia="宋体" w:cs="Times New Roman"/>
          <w:sz w:val="21"/>
          <w:szCs w:val="21"/>
        </w:rPr>
        <w:t>跨环节协同复杂度与调度压力指标</w:t>
      </w:r>
    </w:p>
    <w:p w14:paraId="2812F517">
      <w:pPr>
        <w:spacing w:line="300" w:lineRule="auto"/>
        <w:ind w:firstLine="480" w:firstLineChars="200"/>
        <w:rPr>
          <w:rFonts w:hint="eastAsia" w:ascii="Times New Roman" w:hAnsi="Times New Roman" w:eastAsia="宋体" w:cs="Times New Roman"/>
          <w:sz w:val="24"/>
        </w:rPr>
      </w:pPr>
    </w:p>
    <w:p w14:paraId="4B642F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表3-4</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跨环节协同复杂度与调度压力指标</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733"/>
        <w:gridCol w:w="3414"/>
        <w:gridCol w:w="3190"/>
      </w:tblGrid>
      <w:tr w14:paraId="7394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1039" w:type="pct"/>
            <w:tcBorders>
              <w:top w:val="single" w:color="000000" w:sz="12" w:space="0"/>
              <w:bottom w:val="single" w:color="000000" w:sz="4" w:space="0"/>
              <w:tl2br w:val="nil"/>
            </w:tcBorders>
            <w:shd w:val="clear" w:color="auto" w:fill="FFFFFF"/>
            <w:vAlign w:val="center"/>
          </w:tcPr>
          <w:p w14:paraId="07B940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维度</w:t>
            </w:r>
          </w:p>
        </w:tc>
        <w:tc>
          <w:tcPr>
            <w:tcW w:w="2047" w:type="pct"/>
            <w:tcBorders>
              <w:top w:val="single" w:color="000000" w:sz="12" w:space="0"/>
              <w:bottom w:val="single" w:color="000000" w:sz="4" w:space="0"/>
            </w:tcBorders>
            <w:shd w:val="clear" w:color="auto" w:fill="FFFFFF"/>
            <w:vAlign w:val="center"/>
          </w:tcPr>
          <w:p w14:paraId="2BF93C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指标</w:t>
            </w:r>
          </w:p>
        </w:tc>
        <w:tc>
          <w:tcPr>
            <w:tcW w:w="1912" w:type="pct"/>
            <w:tcBorders>
              <w:top w:val="single" w:color="000000" w:sz="12" w:space="0"/>
              <w:bottom w:val="single" w:color="000000" w:sz="4" w:space="0"/>
            </w:tcBorders>
            <w:shd w:val="clear" w:color="auto" w:fill="FFFFFF"/>
            <w:vAlign w:val="center"/>
          </w:tcPr>
          <w:p w14:paraId="464A8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数据</w:t>
            </w:r>
          </w:p>
        </w:tc>
      </w:tr>
      <w:tr w14:paraId="05DC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39" w:type="pct"/>
            <w:tcBorders>
              <w:top w:val="single" w:color="000000" w:sz="4" w:space="0"/>
            </w:tcBorders>
            <w:shd w:val="clear" w:color="auto" w:fill="FFFFFF"/>
            <w:vAlign w:val="center"/>
          </w:tcPr>
          <w:p w14:paraId="2AD451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分部结构</w:t>
            </w:r>
          </w:p>
        </w:tc>
        <w:tc>
          <w:tcPr>
            <w:tcW w:w="2047" w:type="pct"/>
            <w:tcBorders>
              <w:top w:val="single" w:color="000000" w:sz="4" w:space="0"/>
            </w:tcBorders>
            <w:shd w:val="clear" w:color="auto" w:fill="FFFFFF"/>
            <w:vAlign w:val="center"/>
          </w:tcPr>
          <w:p w14:paraId="152F59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供应链及国际收入占比</w:t>
            </w:r>
          </w:p>
        </w:tc>
        <w:tc>
          <w:tcPr>
            <w:tcW w:w="1912" w:type="pct"/>
            <w:tcBorders>
              <w:top w:val="single" w:color="000000" w:sz="4" w:space="0"/>
            </w:tcBorders>
            <w:shd w:val="clear" w:color="auto" w:fill="FFFFFF"/>
            <w:vAlign w:val="center"/>
          </w:tcPr>
          <w:p w14:paraId="6E166B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23.21%2024年上半年</w:t>
            </w:r>
          </w:p>
        </w:tc>
      </w:tr>
      <w:tr w14:paraId="4E32A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39" w:type="pct"/>
            <w:shd w:val="clear" w:color="auto" w:fill="FFFFFF"/>
            <w:vAlign w:val="center"/>
          </w:tcPr>
          <w:p w14:paraId="7B4912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地区结构</w:t>
            </w:r>
          </w:p>
        </w:tc>
        <w:tc>
          <w:tcPr>
            <w:tcW w:w="2047" w:type="pct"/>
            <w:shd w:val="clear" w:color="auto" w:fill="FFFFFF"/>
            <w:vAlign w:val="center"/>
          </w:tcPr>
          <w:p w14:paraId="48958B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海外收入占比</w:t>
            </w:r>
          </w:p>
        </w:tc>
        <w:tc>
          <w:tcPr>
            <w:tcW w:w="1912" w:type="pct"/>
            <w:shd w:val="clear" w:color="auto" w:fill="FFFFFF"/>
            <w:vAlign w:val="center"/>
          </w:tcPr>
          <w:p w14:paraId="39B1E3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10.34%2024年上半年</w:t>
            </w:r>
          </w:p>
        </w:tc>
      </w:tr>
      <w:tr w14:paraId="16E2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39" w:type="pct"/>
            <w:shd w:val="clear" w:color="auto" w:fill="FFFFFF"/>
            <w:vAlign w:val="center"/>
          </w:tcPr>
          <w:p w14:paraId="230590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枢纽网络</w:t>
            </w:r>
          </w:p>
        </w:tc>
        <w:tc>
          <w:tcPr>
            <w:tcW w:w="2047" w:type="pct"/>
            <w:shd w:val="clear" w:color="auto" w:fill="FFFFFF"/>
            <w:vAlign w:val="center"/>
          </w:tcPr>
          <w:p w14:paraId="35BDAB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鄂州枢纽国内航线数</w:t>
            </w:r>
          </w:p>
        </w:tc>
        <w:tc>
          <w:tcPr>
            <w:tcW w:w="1912" w:type="pct"/>
            <w:shd w:val="clear" w:color="auto" w:fill="FFFFFF"/>
            <w:vAlign w:val="center"/>
          </w:tcPr>
          <w:p w14:paraId="43CE55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55条截至2024年底</w:t>
            </w:r>
          </w:p>
        </w:tc>
      </w:tr>
      <w:tr w14:paraId="7B08B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1039" w:type="pct"/>
            <w:shd w:val="clear" w:color="auto" w:fill="FFFFFF"/>
            <w:vAlign w:val="center"/>
          </w:tcPr>
          <w:p w14:paraId="2786F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枢纽网络</w:t>
            </w:r>
          </w:p>
        </w:tc>
        <w:tc>
          <w:tcPr>
            <w:tcW w:w="2047" w:type="pct"/>
            <w:shd w:val="clear" w:color="auto" w:fill="FFFFFF"/>
            <w:vAlign w:val="center"/>
          </w:tcPr>
          <w:p w14:paraId="3C0EDA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鄂州枢纽国际航线数</w:t>
            </w:r>
          </w:p>
        </w:tc>
        <w:tc>
          <w:tcPr>
            <w:tcW w:w="1912" w:type="pct"/>
            <w:shd w:val="clear" w:color="auto" w:fill="FFFFFF"/>
            <w:vAlign w:val="center"/>
          </w:tcPr>
          <w:p w14:paraId="3EA4C2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15条截至2024年底</w:t>
            </w:r>
          </w:p>
        </w:tc>
      </w:tr>
      <w:tr w14:paraId="287C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39" w:type="pct"/>
            <w:shd w:val="clear" w:color="auto" w:fill="FFFFFF"/>
            <w:vAlign w:val="center"/>
          </w:tcPr>
          <w:p w14:paraId="7D995F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成本敏感项</w:t>
            </w:r>
          </w:p>
        </w:tc>
        <w:tc>
          <w:tcPr>
            <w:tcW w:w="2047" w:type="pct"/>
            <w:shd w:val="clear" w:color="auto" w:fill="FFFFFF"/>
            <w:vAlign w:val="center"/>
          </w:tcPr>
          <w:p w14:paraId="777EAB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人工成本占收入比</w:t>
            </w:r>
          </w:p>
        </w:tc>
        <w:tc>
          <w:tcPr>
            <w:tcW w:w="1912" w:type="pct"/>
            <w:shd w:val="clear" w:color="auto" w:fill="FFFFFF"/>
            <w:vAlign w:val="center"/>
          </w:tcPr>
          <w:p w14:paraId="4ECB6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41.11%2024年上半年</w:t>
            </w:r>
          </w:p>
        </w:tc>
      </w:tr>
      <w:tr w14:paraId="236C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1039" w:type="pct"/>
            <w:tcBorders>
              <w:bottom w:val="single" w:color="000000" w:sz="12" w:space="0"/>
            </w:tcBorders>
            <w:shd w:val="clear" w:color="auto" w:fill="FFFFFF"/>
            <w:vAlign w:val="center"/>
          </w:tcPr>
          <w:p w14:paraId="44F227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成本敏感项</w:t>
            </w:r>
          </w:p>
        </w:tc>
        <w:tc>
          <w:tcPr>
            <w:tcW w:w="2047" w:type="pct"/>
            <w:tcBorders>
              <w:bottom w:val="single" w:color="000000" w:sz="12" w:space="0"/>
            </w:tcBorders>
            <w:shd w:val="clear" w:color="auto" w:fill="FFFFFF"/>
            <w:vAlign w:val="center"/>
          </w:tcPr>
          <w:p w14:paraId="72D21E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运力成本占收入比</w:t>
            </w:r>
          </w:p>
        </w:tc>
        <w:tc>
          <w:tcPr>
            <w:tcW w:w="1912" w:type="pct"/>
            <w:tcBorders>
              <w:bottom w:val="single" w:color="000000" w:sz="12" w:space="0"/>
            </w:tcBorders>
            <w:shd w:val="clear" w:color="auto" w:fill="FFFFFF"/>
            <w:vAlign w:val="center"/>
          </w:tcPr>
          <w:p w14:paraId="211325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32.84%2024年上半年</w:t>
            </w:r>
          </w:p>
        </w:tc>
      </w:tr>
    </w:tbl>
    <w:p w14:paraId="69217D63">
      <w:pPr>
        <w:spacing w:line="300" w:lineRule="auto"/>
        <w:rPr>
          <w:rFonts w:hint="eastAsia" w:eastAsiaTheme="minorEastAsia"/>
          <w:lang w:eastAsia="zh-CN"/>
        </w:rPr>
      </w:pPr>
    </w:p>
    <w:p w14:paraId="7B3758DE">
      <w:pPr>
        <w:pStyle w:val="3"/>
        <w:spacing w:before="156" w:beforeLines="50" w:after="156" w:afterLines="50" w:line="300" w:lineRule="auto"/>
        <w:jc w:val="both"/>
        <w:rPr>
          <w:rFonts w:hint="eastAsia" w:ascii="Times New Roman" w:hAnsi="Times New Roman" w:eastAsia="黑体" w:cs="Times New Roman"/>
          <w:b w:val="0"/>
          <w:bCs w:val="0"/>
          <w:sz w:val="30"/>
          <w:szCs w:val="30"/>
        </w:rPr>
        <w:sectPr>
          <w:pgSz w:w="11906" w:h="16838"/>
          <w:pgMar w:top="1440" w:right="1800" w:bottom="1440" w:left="1800" w:header="851" w:footer="992" w:gutter="0"/>
          <w:pgNumType w:fmt="decimal"/>
          <w:cols w:space="425" w:num="1"/>
          <w:docGrid w:type="lines" w:linePitch="312" w:charSpace="0"/>
        </w:sectPr>
      </w:pPr>
    </w:p>
    <w:p w14:paraId="34A3A22C">
      <w:pPr>
        <w:pStyle w:val="3"/>
        <w:spacing w:before="156" w:beforeLines="50" w:after="156" w:afterLines="50" w:line="300" w:lineRule="auto"/>
        <w:jc w:val="center"/>
        <w:rPr>
          <w:rFonts w:hint="eastAsia" w:ascii="Times New Roman" w:hAnsi="Times New Roman" w:eastAsia="黑体" w:cs="Times New Roman"/>
          <w:b w:val="0"/>
          <w:bCs w:val="0"/>
          <w:sz w:val="30"/>
          <w:szCs w:val="30"/>
        </w:rPr>
      </w:pPr>
      <w:bookmarkStart w:id="15" w:name="_Toc28005"/>
      <w:r>
        <w:rPr>
          <w:rFonts w:hint="eastAsia" w:ascii="Times New Roman" w:hAnsi="Times New Roman" w:eastAsia="黑体" w:cs="Times New Roman"/>
          <w:b w:val="0"/>
          <w:bCs w:val="0"/>
          <w:sz w:val="30"/>
          <w:szCs w:val="30"/>
        </w:rPr>
        <w:t>第四章</w:t>
      </w:r>
      <w:r>
        <w:rPr>
          <w:rFonts w:hint="eastAsia" w:ascii="Times New Roman" w:hAnsi="Times New Roman" w:eastAsia="黑体" w:cs="Times New Roman"/>
          <w:b w:val="0"/>
          <w:bCs w:val="0"/>
          <w:sz w:val="30"/>
          <w:szCs w:val="30"/>
          <w:lang w:val="en-US" w:eastAsia="zh-CN"/>
        </w:rPr>
        <w:t xml:space="preserve">  </w:t>
      </w:r>
      <w:r>
        <w:rPr>
          <w:rFonts w:hint="eastAsia" w:ascii="Times New Roman" w:hAnsi="Times New Roman" w:eastAsia="黑体" w:cs="Times New Roman"/>
          <w:b w:val="0"/>
          <w:bCs w:val="0"/>
          <w:sz w:val="30"/>
          <w:szCs w:val="30"/>
        </w:rPr>
        <w:t>顺丰控股降低物流成本的优化途径设计</w:t>
      </w:r>
      <w:bookmarkEnd w:id="15"/>
    </w:p>
    <w:p w14:paraId="21D54781">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6" w:name="_Toc15731"/>
      <w:r>
        <w:rPr>
          <w:rStyle w:val="16"/>
          <w:rFonts w:hint="eastAsia" w:ascii="Times New Roman" w:hAnsi="Times New Roman" w:eastAsia="黑体" w:cs="Times New Roman"/>
          <w:b w:val="0"/>
          <w:bCs w:val="0"/>
          <w:kern w:val="2"/>
          <w:sz w:val="28"/>
          <w:szCs w:val="28"/>
          <w:lang w:bidi="ar-SA"/>
        </w:rPr>
        <w:t>4.1</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构建统一的成本核算与评估体系</w:t>
      </w:r>
      <w:bookmarkEnd w:id="16"/>
    </w:p>
    <w:p w14:paraId="01DF045C">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顺丰控股物流成本规模庞大，链条</w:t>
      </w:r>
      <w:r>
        <w:rPr>
          <w:rFonts w:hint="eastAsia" w:ascii="Times New Roman" w:hAnsi="Times New Roman" w:eastAsia="宋体" w:cs="Times New Roman"/>
          <w:sz w:val="24"/>
          <w:lang w:val="en-US" w:eastAsia="zh-CN"/>
        </w:rPr>
        <w:t>延展很宽泛</w:t>
      </w:r>
      <w:r>
        <w:rPr>
          <w:rFonts w:hint="eastAsia" w:ascii="Times New Roman" w:hAnsi="Times New Roman" w:eastAsia="宋体" w:cs="Times New Roman"/>
          <w:sz w:val="24"/>
          <w:lang w:eastAsia="zh-CN"/>
        </w:rPr>
        <w:t>，多口径核算</w:t>
      </w:r>
      <w:r>
        <w:rPr>
          <w:rFonts w:hint="eastAsia" w:ascii="Times New Roman" w:hAnsi="Times New Roman" w:eastAsia="宋体" w:cs="Times New Roman"/>
          <w:sz w:val="24"/>
          <w:lang w:val="en-US" w:eastAsia="zh-CN"/>
        </w:rPr>
        <w:t>并存</w:t>
      </w:r>
      <w:r>
        <w:rPr>
          <w:rFonts w:hint="eastAsia" w:ascii="Times New Roman" w:hAnsi="Times New Roman" w:eastAsia="宋体" w:cs="Times New Roman"/>
          <w:sz w:val="24"/>
          <w:lang w:eastAsia="zh-CN"/>
        </w:rPr>
        <w:t>，成本对标不够</w:t>
      </w:r>
      <w:r>
        <w:rPr>
          <w:rFonts w:hint="eastAsia" w:ascii="Times New Roman" w:hAnsi="Times New Roman" w:eastAsia="宋体" w:cs="Times New Roman"/>
          <w:sz w:val="24"/>
          <w:lang w:val="en-US" w:eastAsia="zh-CN"/>
        </w:rPr>
        <w:t>平稳</w:t>
      </w:r>
      <w:r>
        <w:rPr>
          <w:rFonts w:hint="eastAsia" w:ascii="Times New Roman" w:hAnsi="Times New Roman" w:eastAsia="宋体" w:cs="Times New Roman"/>
          <w:sz w:val="24"/>
          <w:lang w:eastAsia="zh-CN"/>
        </w:rPr>
        <w:t>，改进优先级难以判断，管理需统一科目边界，归集规则，责任拆解到作业单元形成降本闭环。2024年上半年公开成本结构显示人工成本535亿元，占物流货运代理收入41.1%，运力成本428亿元，占32.8%，这两项加起来超过</w:t>
      </w:r>
      <w:r>
        <w:rPr>
          <w:rFonts w:hint="eastAsia" w:ascii="Times New Roman" w:hAnsi="Times New Roman" w:eastAsia="宋体" w:cs="Times New Roman"/>
          <w:sz w:val="24"/>
          <w:lang w:val="en-US" w:eastAsia="zh-CN"/>
        </w:rPr>
        <w:t>了</w:t>
      </w:r>
      <w:r>
        <w:rPr>
          <w:rFonts w:hint="eastAsia" w:ascii="Times New Roman" w:hAnsi="Times New Roman" w:eastAsia="宋体" w:cs="Times New Roman"/>
          <w:sz w:val="24"/>
          <w:lang w:eastAsia="zh-CN"/>
        </w:rPr>
        <w:t>七成，核算口径统一后应</w:t>
      </w:r>
      <w:r>
        <w:rPr>
          <w:rFonts w:hint="eastAsia" w:ascii="Times New Roman" w:hAnsi="Times New Roman" w:eastAsia="宋体" w:cs="Times New Roman"/>
          <w:sz w:val="24"/>
          <w:lang w:val="en-US" w:eastAsia="zh-CN"/>
        </w:rPr>
        <w:t>详细</w:t>
      </w:r>
      <w:r>
        <w:rPr>
          <w:rFonts w:hint="eastAsia" w:ascii="Times New Roman" w:hAnsi="Times New Roman" w:eastAsia="宋体" w:cs="Times New Roman"/>
          <w:sz w:val="24"/>
          <w:lang w:eastAsia="zh-CN"/>
        </w:rPr>
        <w:t>到动因层面如工时减少结构</w:t>
      </w:r>
      <w:r>
        <w:rPr>
          <w:rFonts w:hint="eastAsia" w:ascii="Times New Roman" w:hAnsi="Times New Roman" w:eastAsia="宋体" w:cs="Times New Roman"/>
          <w:sz w:val="24"/>
          <w:lang w:val="en-US" w:eastAsia="zh-CN"/>
        </w:rPr>
        <w:t>虚假</w:t>
      </w:r>
      <w:r>
        <w:rPr>
          <w:rFonts w:hint="eastAsia" w:ascii="Times New Roman" w:hAnsi="Times New Roman" w:eastAsia="宋体" w:cs="Times New Roman"/>
          <w:sz w:val="24"/>
          <w:lang w:eastAsia="zh-CN"/>
        </w:rPr>
        <w:t>，提升责任追踪效率。公司披露成本结构可作为现状基准</w:t>
      </w:r>
      <w:r>
        <w:rPr>
          <w:rFonts w:hint="eastAsia" w:ascii="Times New Roman" w:hAnsi="Times New Roman" w:eastAsia="宋体" w:cs="Times New Roman"/>
          <w:sz w:val="24"/>
          <w:lang w:val="en-US" w:eastAsia="zh-CN"/>
        </w:rPr>
        <w:t>和</w:t>
      </w:r>
      <w:r>
        <w:rPr>
          <w:rFonts w:hint="eastAsia" w:ascii="Times New Roman" w:hAnsi="Times New Roman" w:eastAsia="宋体" w:cs="Times New Roman"/>
          <w:sz w:val="24"/>
          <w:lang w:eastAsia="zh-CN"/>
        </w:rPr>
        <w:t>统一核算口径，表4-1所示。</w:t>
      </w:r>
    </w:p>
    <w:p w14:paraId="78E11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Theme="minorEastAsia"/>
          <w:lang w:eastAsia="zh-CN"/>
        </w:rPr>
      </w:pPr>
      <w:r>
        <w:rPr>
          <w:rFonts w:hint="eastAsia" w:ascii="Times New Roman" w:hAnsi="Times New Roman" w:eastAsia="宋体" w:cs="Times New Roman"/>
          <w:sz w:val="21"/>
          <w:szCs w:val="21"/>
          <w:lang w:eastAsia="zh-CN"/>
        </w:rPr>
        <w:t>表4-1</w:t>
      </w:r>
      <w:r>
        <w:rPr>
          <w:rFonts w:hint="eastAsia" w:ascii="Times New Roman" w:hAnsi="Times New Roman" w:eastAsia="宋体" w:cs="Times New Roman"/>
          <w:sz w:val="21"/>
          <w:szCs w:val="21"/>
          <w:lang w:val="en-US" w:eastAsia="zh-CN"/>
        </w:rPr>
        <w:t xml:space="preserve">  关键成本项统一核算口径与责任单元设计示例</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706"/>
        <w:gridCol w:w="1031"/>
        <w:gridCol w:w="1353"/>
        <w:gridCol w:w="3779"/>
        <w:gridCol w:w="1471"/>
      </w:tblGrid>
      <w:tr w14:paraId="73BCD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423" w:type="pct"/>
            <w:tcBorders>
              <w:top w:val="single" w:color="000000" w:sz="12" w:space="0"/>
              <w:bottom w:val="single" w:color="000000" w:sz="4" w:space="0"/>
              <w:tl2br w:val="nil"/>
            </w:tcBorders>
            <w:shd w:val="clear" w:color="auto" w:fill="FFFFFF"/>
            <w:vAlign w:val="center"/>
          </w:tcPr>
          <w:p w14:paraId="3EB1DF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成本项</w:t>
            </w:r>
          </w:p>
        </w:tc>
        <w:tc>
          <w:tcPr>
            <w:tcW w:w="618" w:type="pct"/>
            <w:tcBorders>
              <w:top w:val="single" w:color="000000" w:sz="12" w:space="0"/>
              <w:bottom w:val="single" w:color="000000" w:sz="4" w:space="0"/>
            </w:tcBorders>
            <w:shd w:val="clear" w:color="auto" w:fill="FFFFFF"/>
            <w:vAlign w:val="center"/>
          </w:tcPr>
          <w:p w14:paraId="3DE99D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2024年上半年金额</w:t>
            </w:r>
          </w:p>
        </w:tc>
        <w:tc>
          <w:tcPr>
            <w:tcW w:w="811" w:type="pct"/>
            <w:tcBorders>
              <w:top w:val="single" w:color="000000" w:sz="12" w:space="0"/>
              <w:bottom w:val="single" w:color="000000" w:sz="4" w:space="0"/>
            </w:tcBorders>
            <w:shd w:val="clear" w:color="auto" w:fill="FFFFFF"/>
            <w:vAlign w:val="center"/>
          </w:tcPr>
          <w:p w14:paraId="1DBC5C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占物流及货运代理收入比</w:t>
            </w:r>
          </w:p>
        </w:tc>
        <w:tc>
          <w:tcPr>
            <w:tcW w:w="2265" w:type="pct"/>
            <w:tcBorders>
              <w:top w:val="single" w:color="000000" w:sz="12" w:space="0"/>
              <w:bottom w:val="single" w:color="000000" w:sz="4" w:space="0"/>
            </w:tcBorders>
            <w:shd w:val="clear" w:color="auto" w:fill="FFFFFF"/>
            <w:vAlign w:val="center"/>
          </w:tcPr>
          <w:p w14:paraId="45312A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统一核算口径建议</w:t>
            </w:r>
          </w:p>
        </w:tc>
        <w:tc>
          <w:tcPr>
            <w:tcW w:w="881" w:type="pct"/>
            <w:tcBorders>
              <w:top w:val="single" w:color="000000" w:sz="12" w:space="0"/>
              <w:bottom w:val="single" w:color="000000" w:sz="4" w:space="0"/>
            </w:tcBorders>
            <w:shd w:val="clear" w:color="auto" w:fill="FFFFFF"/>
            <w:vAlign w:val="center"/>
          </w:tcPr>
          <w:p w14:paraId="55EC9C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责任单元建议</w:t>
            </w:r>
          </w:p>
        </w:tc>
      </w:tr>
      <w:tr w14:paraId="6BF3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423" w:type="pct"/>
            <w:tcBorders>
              <w:top w:val="single" w:color="000000" w:sz="4" w:space="0"/>
            </w:tcBorders>
            <w:shd w:val="clear" w:color="auto" w:fill="FFFFFF"/>
            <w:vAlign w:val="center"/>
          </w:tcPr>
          <w:p w14:paraId="66CE2F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人工成本</w:t>
            </w:r>
          </w:p>
        </w:tc>
        <w:tc>
          <w:tcPr>
            <w:tcW w:w="618" w:type="pct"/>
            <w:tcBorders>
              <w:top w:val="single" w:color="000000" w:sz="4" w:space="0"/>
            </w:tcBorders>
            <w:shd w:val="clear" w:color="auto" w:fill="FFFFFF"/>
            <w:vAlign w:val="center"/>
          </w:tcPr>
          <w:p w14:paraId="2F60EB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535亿元</w:t>
            </w:r>
          </w:p>
        </w:tc>
        <w:tc>
          <w:tcPr>
            <w:tcW w:w="811" w:type="pct"/>
            <w:tcBorders>
              <w:top w:val="single" w:color="000000" w:sz="4" w:space="0"/>
            </w:tcBorders>
            <w:shd w:val="clear" w:color="auto" w:fill="FFFFFF"/>
            <w:vAlign w:val="center"/>
          </w:tcPr>
          <w:p w14:paraId="4F8077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41.1%</w:t>
            </w:r>
          </w:p>
        </w:tc>
        <w:tc>
          <w:tcPr>
            <w:tcW w:w="2265" w:type="pct"/>
            <w:tcBorders>
              <w:top w:val="single" w:color="000000" w:sz="4" w:space="0"/>
            </w:tcBorders>
            <w:shd w:val="clear" w:color="auto" w:fill="FFFFFF"/>
            <w:vAlign w:val="center"/>
          </w:tcPr>
          <w:p w14:paraId="0B434F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统一到岗位与班组工时口径，区分固定编制与弹性用工，按收派与转运等作业环节归集</w:t>
            </w:r>
          </w:p>
        </w:tc>
        <w:tc>
          <w:tcPr>
            <w:tcW w:w="881" w:type="pct"/>
            <w:tcBorders>
              <w:top w:val="single" w:color="000000" w:sz="4" w:space="0"/>
            </w:tcBorders>
            <w:shd w:val="clear" w:color="auto" w:fill="FFFFFF"/>
            <w:vAlign w:val="center"/>
          </w:tcPr>
          <w:p w14:paraId="5B5D66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网点、直营网格、中转场班组</w:t>
            </w:r>
          </w:p>
        </w:tc>
      </w:tr>
      <w:tr w14:paraId="1E39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423" w:type="pct"/>
            <w:shd w:val="clear" w:color="auto" w:fill="FFFFFF"/>
            <w:vAlign w:val="center"/>
          </w:tcPr>
          <w:p w14:paraId="004C1B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运力成本</w:t>
            </w:r>
          </w:p>
        </w:tc>
        <w:tc>
          <w:tcPr>
            <w:tcW w:w="618" w:type="pct"/>
            <w:shd w:val="clear" w:color="auto" w:fill="FFFFFF"/>
            <w:vAlign w:val="center"/>
          </w:tcPr>
          <w:p w14:paraId="41A871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428亿元</w:t>
            </w:r>
          </w:p>
        </w:tc>
        <w:tc>
          <w:tcPr>
            <w:tcW w:w="811" w:type="pct"/>
            <w:shd w:val="clear" w:color="auto" w:fill="FFFFFF"/>
            <w:vAlign w:val="center"/>
          </w:tcPr>
          <w:p w14:paraId="6946FC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32.8%</w:t>
            </w:r>
          </w:p>
        </w:tc>
        <w:tc>
          <w:tcPr>
            <w:tcW w:w="2265" w:type="pct"/>
            <w:shd w:val="clear" w:color="auto" w:fill="FFFFFF"/>
            <w:vAlign w:val="center"/>
          </w:tcPr>
          <w:p w14:paraId="794484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统一到线路与班次口径，区分自有与外采运力，按里程与装载体积等动因分摊</w:t>
            </w:r>
          </w:p>
        </w:tc>
        <w:tc>
          <w:tcPr>
            <w:tcW w:w="881" w:type="pct"/>
            <w:shd w:val="clear" w:color="auto" w:fill="FFFFFF"/>
            <w:vAlign w:val="center"/>
          </w:tcPr>
          <w:p w14:paraId="22BEFF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干线线路、车队、航班与航线</w:t>
            </w:r>
          </w:p>
        </w:tc>
      </w:tr>
      <w:tr w14:paraId="61C4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23" w:type="pct"/>
            <w:tcBorders>
              <w:bottom w:val="single" w:color="000000" w:sz="12" w:space="0"/>
            </w:tcBorders>
            <w:shd w:val="clear" w:color="auto" w:fill="FFFFFF"/>
            <w:vAlign w:val="center"/>
          </w:tcPr>
          <w:p w14:paraId="1BFC5E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其他经营成本</w:t>
            </w:r>
          </w:p>
        </w:tc>
        <w:tc>
          <w:tcPr>
            <w:tcW w:w="618" w:type="pct"/>
            <w:tcBorders>
              <w:bottom w:val="single" w:color="000000" w:sz="12" w:space="0"/>
            </w:tcBorders>
            <w:shd w:val="clear" w:color="auto" w:fill="FFFFFF"/>
            <w:vAlign w:val="center"/>
          </w:tcPr>
          <w:p w14:paraId="13163B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159亿元</w:t>
            </w:r>
          </w:p>
        </w:tc>
        <w:tc>
          <w:tcPr>
            <w:tcW w:w="811" w:type="pct"/>
            <w:tcBorders>
              <w:bottom w:val="single" w:color="000000" w:sz="12" w:space="0"/>
            </w:tcBorders>
            <w:shd w:val="clear" w:color="auto" w:fill="FFFFFF"/>
            <w:vAlign w:val="center"/>
          </w:tcPr>
          <w:p w14:paraId="448628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12.2%</w:t>
            </w:r>
          </w:p>
        </w:tc>
        <w:tc>
          <w:tcPr>
            <w:tcW w:w="2265" w:type="pct"/>
            <w:tcBorders>
              <w:bottom w:val="single" w:color="000000" w:sz="12" w:space="0"/>
            </w:tcBorders>
            <w:shd w:val="clear" w:color="auto" w:fill="FFFFFF"/>
            <w:vAlign w:val="center"/>
          </w:tcPr>
          <w:p w14:paraId="619BE2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统一到场地与设备口径，区分固定费用与可变费用，按吞吐量与作业时长归集</w:t>
            </w:r>
          </w:p>
        </w:tc>
        <w:tc>
          <w:tcPr>
            <w:tcW w:w="881" w:type="pct"/>
            <w:tcBorders>
              <w:bottom w:val="single" w:color="000000" w:sz="12" w:space="0"/>
            </w:tcBorders>
            <w:shd w:val="clear" w:color="auto" w:fill="FFFFFF"/>
            <w:vAlign w:val="center"/>
          </w:tcPr>
          <w:p w14:paraId="10A87F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中转场、直营网点、仓配园区</w:t>
            </w:r>
          </w:p>
        </w:tc>
      </w:tr>
    </w:tbl>
    <w:p w14:paraId="3BB18040">
      <w:pPr>
        <w:spacing w:line="300" w:lineRule="auto"/>
        <w:ind w:firstLine="420" w:firstLineChars="200"/>
        <w:rPr>
          <w:rFonts w:hint="eastAsia" w:eastAsiaTheme="minorEastAsia"/>
          <w:lang w:eastAsia="zh-CN"/>
        </w:rPr>
      </w:pPr>
    </w:p>
    <w:p w14:paraId="2ECA0440">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7" w:name="_Toc9864"/>
      <w:r>
        <w:rPr>
          <w:rStyle w:val="16"/>
          <w:rFonts w:hint="eastAsia" w:ascii="Times New Roman" w:hAnsi="Times New Roman" w:eastAsia="黑体" w:cs="Times New Roman"/>
          <w:b w:val="0"/>
          <w:bCs w:val="0"/>
          <w:kern w:val="2"/>
          <w:sz w:val="28"/>
          <w:szCs w:val="28"/>
          <w:lang w:bidi="ar-SA"/>
        </w:rPr>
        <w:t>4.2</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运输网络优化与车辆装载率提升策略</w:t>
      </w:r>
      <w:bookmarkEnd w:id="17"/>
    </w:p>
    <w:p w14:paraId="79A5D1EC">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运输分拨成本弹性强，规模效应容易形成，顺丰指标2024年上半年显示单公斤成本降低6%，中转效能提升11%，干线装载率上升5个百分点，网络规划路由优化装载治理</w:t>
      </w:r>
      <w:r>
        <w:rPr>
          <w:rFonts w:hint="eastAsia" w:ascii="Times New Roman" w:hAnsi="Times New Roman" w:eastAsia="宋体" w:cs="Times New Roman"/>
          <w:sz w:val="24"/>
          <w:lang w:val="en-US" w:eastAsia="zh-CN"/>
        </w:rPr>
        <w:t>减少</w:t>
      </w:r>
      <w:r>
        <w:rPr>
          <w:rFonts w:hint="eastAsia" w:ascii="Times New Roman" w:hAnsi="Times New Roman" w:eastAsia="宋体" w:cs="Times New Roman"/>
          <w:sz w:val="24"/>
          <w:lang w:eastAsia="zh-CN"/>
        </w:rPr>
        <w:t>单位成本，方案网络结构线路组织装载管理三线</w:t>
      </w:r>
      <w:r>
        <w:rPr>
          <w:rFonts w:hint="eastAsia" w:ascii="Times New Roman" w:hAnsi="Times New Roman" w:eastAsia="宋体" w:cs="Times New Roman"/>
          <w:sz w:val="24"/>
          <w:lang w:val="en-US" w:eastAsia="zh-CN"/>
        </w:rPr>
        <w:t>共同</w:t>
      </w:r>
      <w:r>
        <w:rPr>
          <w:rFonts w:hint="eastAsia" w:ascii="Times New Roman" w:hAnsi="Times New Roman" w:eastAsia="宋体" w:cs="Times New Roman"/>
          <w:sz w:val="24"/>
          <w:lang w:eastAsia="zh-CN"/>
        </w:rPr>
        <w:t>推进，枢纽分级配合波次标准化减少中转，跨区直达比例提升，预测驱动线路计划叠加动态路由降低绕行，空驶减少，体积装载率规则校核机制费用结算联动保障执行，航空陆运仓配前置资源纳入同一容量计划体系，顺丰运营全货机107架，自营91架统一窗口</w:t>
      </w:r>
      <w:r>
        <w:rPr>
          <w:rFonts w:hint="eastAsia" w:ascii="Times New Roman" w:hAnsi="Times New Roman" w:eastAsia="宋体" w:cs="Times New Roman"/>
          <w:sz w:val="24"/>
          <w:lang w:val="en-US" w:eastAsia="zh-CN"/>
        </w:rPr>
        <w:t>共同</w:t>
      </w:r>
      <w:r>
        <w:rPr>
          <w:rFonts w:hint="eastAsia" w:ascii="Times New Roman" w:hAnsi="Times New Roman" w:eastAsia="宋体" w:cs="Times New Roman"/>
          <w:sz w:val="24"/>
          <w:lang w:eastAsia="zh-CN"/>
        </w:rPr>
        <w:t>排程，</w:t>
      </w:r>
      <w:r>
        <w:rPr>
          <w:rFonts w:hint="eastAsia" w:ascii="Times New Roman" w:hAnsi="Times New Roman" w:eastAsia="宋体" w:cs="Times New Roman"/>
          <w:sz w:val="24"/>
          <w:lang w:val="en-US" w:eastAsia="zh-CN"/>
        </w:rPr>
        <w:t>链</w:t>
      </w:r>
      <w:r>
        <w:rPr>
          <w:rFonts w:hint="eastAsia" w:ascii="Times New Roman" w:hAnsi="Times New Roman" w:eastAsia="宋体" w:cs="Times New Roman"/>
          <w:sz w:val="24"/>
          <w:lang w:eastAsia="zh-CN"/>
        </w:rPr>
        <w:t>接等待损耗压缩表4-2呈现。</w:t>
      </w:r>
    </w:p>
    <w:p w14:paraId="71AAF4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Theme="minorEastAsia"/>
          <w:lang w:eastAsia="zh-CN"/>
        </w:rPr>
      </w:pPr>
      <w:r>
        <w:rPr>
          <w:rFonts w:hint="eastAsia" w:ascii="Times New Roman" w:hAnsi="Times New Roman" w:eastAsia="宋体" w:cs="Times New Roman"/>
          <w:sz w:val="21"/>
          <w:szCs w:val="21"/>
          <w:lang w:eastAsia="zh-CN"/>
        </w:rPr>
        <w:t>表4-2</w:t>
      </w:r>
      <w:r>
        <w:rPr>
          <w:rFonts w:hint="eastAsia" w:ascii="Times New Roman" w:hAnsi="Times New Roman" w:eastAsia="宋体" w:cs="Times New Roman"/>
          <w:sz w:val="21"/>
          <w:szCs w:val="21"/>
          <w:lang w:val="en-US" w:eastAsia="zh-CN"/>
        </w:rPr>
        <w:t xml:space="preserve">  运输网络与装载率提升的关键抓手与数据支撑</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838"/>
        <w:gridCol w:w="1664"/>
        <w:gridCol w:w="1657"/>
        <w:gridCol w:w="2165"/>
        <w:gridCol w:w="2016"/>
      </w:tblGrid>
      <w:tr w14:paraId="7C24A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tblHeader/>
        </w:trPr>
        <w:tc>
          <w:tcPr>
            <w:tcW w:w="502" w:type="pct"/>
            <w:tcBorders>
              <w:top w:val="single" w:color="000000" w:sz="12" w:space="0"/>
              <w:bottom w:val="single" w:color="000000" w:sz="4" w:space="0"/>
              <w:tl2br w:val="nil"/>
            </w:tcBorders>
            <w:shd w:val="clear" w:color="auto" w:fill="FFFFFF"/>
            <w:vAlign w:val="center"/>
          </w:tcPr>
          <w:p w14:paraId="66041A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管控对象</w:t>
            </w:r>
          </w:p>
        </w:tc>
        <w:tc>
          <w:tcPr>
            <w:tcW w:w="997" w:type="pct"/>
            <w:tcBorders>
              <w:top w:val="single" w:color="000000" w:sz="12" w:space="0"/>
              <w:bottom w:val="single" w:color="000000" w:sz="4" w:space="0"/>
            </w:tcBorders>
            <w:shd w:val="clear" w:color="auto" w:fill="FFFFFF"/>
            <w:vAlign w:val="center"/>
          </w:tcPr>
          <w:p w14:paraId="206CA9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现状数据与公开指标</w:t>
            </w:r>
          </w:p>
        </w:tc>
        <w:tc>
          <w:tcPr>
            <w:tcW w:w="993" w:type="pct"/>
            <w:tcBorders>
              <w:top w:val="single" w:color="000000" w:sz="12" w:space="0"/>
              <w:bottom w:val="single" w:color="000000" w:sz="4" w:space="0"/>
            </w:tcBorders>
            <w:shd w:val="clear" w:color="auto" w:fill="FFFFFF"/>
            <w:vAlign w:val="center"/>
          </w:tcPr>
          <w:p w14:paraId="57BEA3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主要问题指向</w:t>
            </w:r>
          </w:p>
        </w:tc>
        <w:tc>
          <w:tcPr>
            <w:tcW w:w="1297" w:type="pct"/>
            <w:tcBorders>
              <w:top w:val="single" w:color="000000" w:sz="12" w:space="0"/>
              <w:bottom w:val="single" w:color="000000" w:sz="4" w:space="0"/>
            </w:tcBorders>
            <w:shd w:val="clear" w:color="auto" w:fill="FFFFFF"/>
            <w:vAlign w:val="center"/>
          </w:tcPr>
          <w:p w14:paraId="15D1A4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优化策略设计</w:t>
            </w:r>
          </w:p>
        </w:tc>
        <w:tc>
          <w:tcPr>
            <w:tcW w:w="1208" w:type="pct"/>
            <w:tcBorders>
              <w:top w:val="single" w:color="000000" w:sz="12" w:space="0"/>
              <w:bottom w:val="single" w:color="000000" w:sz="4" w:space="0"/>
            </w:tcBorders>
            <w:shd w:val="clear" w:color="auto" w:fill="FFFFFF"/>
            <w:vAlign w:val="center"/>
          </w:tcPr>
          <w:p w14:paraId="04991A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落地要点</w:t>
            </w:r>
          </w:p>
        </w:tc>
      </w:tr>
      <w:tr w14:paraId="2D0E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502" w:type="pct"/>
            <w:tcBorders>
              <w:top w:val="single" w:color="000000" w:sz="4" w:space="0"/>
            </w:tcBorders>
            <w:shd w:val="clear" w:color="auto" w:fill="FFFFFF"/>
            <w:vAlign w:val="center"/>
          </w:tcPr>
          <w:p w14:paraId="2D5FC8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单位运输成本</w:t>
            </w:r>
          </w:p>
        </w:tc>
        <w:tc>
          <w:tcPr>
            <w:tcW w:w="997" w:type="pct"/>
            <w:tcBorders>
              <w:top w:val="single" w:color="000000" w:sz="4" w:space="0"/>
            </w:tcBorders>
            <w:shd w:val="clear" w:color="auto" w:fill="FFFFFF"/>
            <w:vAlign w:val="center"/>
          </w:tcPr>
          <w:p w14:paraId="76A3E8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2024年上半年单公斤成本下降6%</w:t>
            </w:r>
          </w:p>
        </w:tc>
        <w:tc>
          <w:tcPr>
            <w:tcW w:w="993" w:type="pct"/>
            <w:tcBorders>
              <w:top w:val="single" w:color="000000" w:sz="4" w:space="0"/>
            </w:tcBorders>
            <w:shd w:val="clear" w:color="auto" w:fill="FFFFFF"/>
            <w:vAlign w:val="center"/>
          </w:tcPr>
          <w:p w14:paraId="60D7F4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单位成本仍受波动货量与路由绕行影响</w:t>
            </w:r>
          </w:p>
        </w:tc>
        <w:tc>
          <w:tcPr>
            <w:tcW w:w="1297" w:type="pct"/>
            <w:tcBorders>
              <w:top w:val="single" w:color="000000" w:sz="4" w:space="0"/>
            </w:tcBorders>
            <w:shd w:val="clear" w:color="auto" w:fill="FFFFFF"/>
            <w:vAlign w:val="center"/>
          </w:tcPr>
          <w:p w14:paraId="2DB48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建立预测驱动的线路计划与动态路由机制，提升直达比例</w:t>
            </w:r>
          </w:p>
        </w:tc>
        <w:tc>
          <w:tcPr>
            <w:tcW w:w="1208" w:type="pct"/>
            <w:tcBorders>
              <w:top w:val="single" w:color="000000" w:sz="4" w:space="0"/>
            </w:tcBorders>
            <w:shd w:val="clear" w:color="auto" w:fill="FFFFFF"/>
            <w:vAlign w:val="center"/>
          </w:tcPr>
          <w:p w14:paraId="261D71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预测数据进入排班与发运决策，按日复盘偏差并纠偏</w:t>
            </w:r>
          </w:p>
        </w:tc>
      </w:tr>
      <w:tr w14:paraId="4E6BD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502" w:type="pct"/>
            <w:shd w:val="clear" w:color="auto" w:fill="FFFFFF"/>
            <w:vAlign w:val="center"/>
          </w:tcPr>
          <w:p w14:paraId="530188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中转与分拨效率</w:t>
            </w:r>
          </w:p>
        </w:tc>
        <w:tc>
          <w:tcPr>
            <w:tcW w:w="997" w:type="pct"/>
            <w:shd w:val="clear" w:color="auto" w:fill="FFFFFF"/>
            <w:vAlign w:val="center"/>
          </w:tcPr>
          <w:p w14:paraId="0A14B5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2024年上半年中转效能提升11%</w:t>
            </w:r>
          </w:p>
        </w:tc>
        <w:tc>
          <w:tcPr>
            <w:tcW w:w="993" w:type="pct"/>
            <w:shd w:val="clear" w:color="auto" w:fill="FFFFFF"/>
            <w:vAlign w:val="center"/>
          </w:tcPr>
          <w:p w14:paraId="500130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波次组织不稳导致等待时间与搬运次数增加</w:t>
            </w:r>
          </w:p>
        </w:tc>
        <w:tc>
          <w:tcPr>
            <w:tcW w:w="1297" w:type="pct"/>
            <w:shd w:val="clear" w:color="auto" w:fill="FFFFFF"/>
            <w:vAlign w:val="center"/>
          </w:tcPr>
          <w:p w14:paraId="761B5C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枢纽分级与波次标准化，推进拉直线路与减少中转</w:t>
            </w:r>
          </w:p>
        </w:tc>
        <w:tc>
          <w:tcPr>
            <w:tcW w:w="1208" w:type="pct"/>
            <w:shd w:val="clear" w:color="auto" w:fill="FFFFFF"/>
            <w:vAlign w:val="center"/>
          </w:tcPr>
          <w:p w14:paraId="08B4FA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固定波次窗口与关键节点时刻表，异常按工单闭环</w:t>
            </w:r>
          </w:p>
        </w:tc>
      </w:tr>
      <w:tr w14:paraId="4F376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502" w:type="pct"/>
            <w:shd w:val="clear" w:color="auto" w:fill="FFFFFF"/>
            <w:vAlign w:val="center"/>
          </w:tcPr>
          <w:p w14:paraId="3DCEA4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干线装载水平</w:t>
            </w:r>
          </w:p>
        </w:tc>
        <w:tc>
          <w:tcPr>
            <w:tcW w:w="997" w:type="pct"/>
            <w:shd w:val="clear" w:color="auto" w:fill="FFFFFF"/>
            <w:vAlign w:val="center"/>
          </w:tcPr>
          <w:p w14:paraId="022379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2024年上半年干线装载率提升5个百分点</w:t>
            </w:r>
          </w:p>
        </w:tc>
        <w:tc>
          <w:tcPr>
            <w:tcW w:w="993" w:type="pct"/>
            <w:shd w:val="clear" w:color="auto" w:fill="FFFFFF"/>
            <w:vAlign w:val="center"/>
          </w:tcPr>
          <w:p w14:paraId="3FACA8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装载不均与空驶回程导致运力浪费</w:t>
            </w:r>
          </w:p>
        </w:tc>
        <w:tc>
          <w:tcPr>
            <w:tcW w:w="1297" w:type="pct"/>
            <w:shd w:val="clear" w:color="auto" w:fill="FFFFFF"/>
            <w:vAlign w:val="center"/>
          </w:tcPr>
          <w:p w14:paraId="158914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建立装载规则与装载校核，推进回程货源组织与拼载</w:t>
            </w:r>
          </w:p>
        </w:tc>
        <w:tc>
          <w:tcPr>
            <w:tcW w:w="1208" w:type="pct"/>
            <w:shd w:val="clear" w:color="auto" w:fill="FFFFFF"/>
            <w:vAlign w:val="center"/>
          </w:tcPr>
          <w:p w14:paraId="092ABE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以体积装载率与回程匹配率作为线路考核核心指标</w:t>
            </w:r>
          </w:p>
        </w:tc>
      </w:tr>
      <w:tr w14:paraId="3C491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502" w:type="pct"/>
            <w:tcBorders>
              <w:bottom w:val="single" w:color="000000" w:sz="12" w:space="0"/>
            </w:tcBorders>
            <w:shd w:val="clear" w:color="auto" w:fill="FFFFFF"/>
            <w:vAlign w:val="center"/>
          </w:tcPr>
          <w:p w14:paraId="10C2EE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航空与跨境资源统筹</w:t>
            </w:r>
          </w:p>
        </w:tc>
        <w:tc>
          <w:tcPr>
            <w:tcW w:w="997" w:type="pct"/>
            <w:tcBorders>
              <w:bottom w:val="single" w:color="000000" w:sz="12" w:space="0"/>
            </w:tcBorders>
            <w:shd w:val="clear" w:color="auto" w:fill="FFFFFF"/>
            <w:vAlign w:val="center"/>
          </w:tcPr>
          <w:p w14:paraId="7E8C75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运营全货机数量107架且自营91架</w:t>
            </w:r>
          </w:p>
        </w:tc>
        <w:tc>
          <w:tcPr>
            <w:tcW w:w="993" w:type="pct"/>
            <w:tcBorders>
              <w:bottom w:val="single" w:color="000000" w:sz="12" w:space="0"/>
            </w:tcBorders>
            <w:shd w:val="clear" w:color="auto" w:fill="FFFFFF"/>
            <w:vAlign w:val="center"/>
          </w:tcPr>
          <w:p w14:paraId="2CDD50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航空与陆运衔接不足导致转运等待与衔接损耗</w:t>
            </w:r>
          </w:p>
        </w:tc>
        <w:tc>
          <w:tcPr>
            <w:tcW w:w="1297" w:type="pct"/>
            <w:tcBorders>
              <w:bottom w:val="single" w:color="000000" w:sz="12" w:space="0"/>
            </w:tcBorders>
            <w:shd w:val="clear" w:color="auto" w:fill="FFFFFF"/>
            <w:vAlign w:val="center"/>
          </w:tcPr>
          <w:p w14:paraId="208A40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航班与干线班次协同排程，围绕枢纽窗口做容量计划</w:t>
            </w:r>
          </w:p>
        </w:tc>
        <w:tc>
          <w:tcPr>
            <w:tcW w:w="1208" w:type="pct"/>
            <w:tcBorders>
              <w:bottom w:val="single" w:color="000000" w:sz="12" w:space="0"/>
            </w:tcBorders>
            <w:shd w:val="clear" w:color="auto" w:fill="FFFFFF"/>
            <w:vAlign w:val="center"/>
          </w:tcPr>
          <w:p w14:paraId="1EF104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航空到港与陆运发车采用统一窗口与统一派车规则</w:t>
            </w:r>
          </w:p>
        </w:tc>
      </w:tr>
    </w:tbl>
    <w:p w14:paraId="741FB1BC">
      <w:pPr>
        <w:spacing w:line="300" w:lineRule="auto"/>
        <w:ind w:firstLine="420" w:firstLineChars="200"/>
        <w:rPr>
          <w:rFonts w:hint="eastAsia" w:eastAsiaTheme="minorEastAsia"/>
          <w:lang w:eastAsia="zh-CN"/>
        </w:rPr>
      </w:pPr>
    </w:p>
    <w:p w14:paraId="424F26F1">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8" w:name="_Toc1721"/>
      <w:r>
        <w:rPr>
          <w:rStyle w:val="16"/>
          <w:rFonts w:hint="eastAsia" w:ascii="Times New Roman" w:hAnsi="Times New Roman" w:eastAsia="黑体" w:cs="Times New Roman"/>
          <w:b w:val="0"/>
          <w:bCs w:val="0"/>
          <w:kern w:val="2"/>
          <w:sz w:val="28"/>
          <w:szCs w:val="28"/>
          <w:lang w:bidi="ar-SA"/>
        </w:rPr>
        <w:t>4.3</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基于数据互联的数字化协同管理方案</w:t>
      </w:r>
      <w:bookmarkEnd w:id="18"/>
    </w:p>
    <w:p w14:paraId="6649695B">
      <w:pPr>
        <w:spacing w:line="300" w:lineRule="auto"/>
        <w:ind w:firstLine="480" w:firstLineChars="200"/>
        <w:rPr>
          <w:rFonts w:hint="eastAsia" w:ascii="Times New Roman" w:hAnsi="Times New Roman" w:eastAsia="宋体" w:cs="Times New Roman"/>
          <w:sz w:val="24"/>
          <w:lang w:eastAsia="zh-CN"/>
        </w:rPr>
      </w:pPr>
      <w:r>
        <w:rPr>
          <w:rFonts w:hint="eastAsia" w:ascii="Times New Roman" w:hAnsi="Times New Roman" w:eastAsia="宋体" w:cs="Times New Roman"/>
          <w:sz w:val="24"/>
          <w:lang w:eastAsia="zh-CN"/>
        </w:rPr>
        <w:t>跨环节信息壁垒呈现订单预测问题、容量信息问题、异常处置问题，</w:t>
      </w:r>
      <w:r>
        <w:rPr>
          <w:rFonts w:hint="eastAsia" w:ascii="Times New Roman" w:hAnsi="Times New Roman" w:eastAsia="宋体" w:cs="Times New Roman"/>
          <w:sz w:val="24"/>
          <w:lang w:val="en-US" w:eastAsia="zh-CN"/>
        </w:rPr>
        <w:t>会造成</w:t>
      </w:r>
      <w:r>
        <w:rPr>
          <w:rFonts w:hint="eastAsia" w:ascii="Times New Roman" w:hAnsi="Times New Roman" w:eastAsia="宋体" w:cs="Times New Roman"/>
          <w:sz w:val="24"/>
          <w:lang w:eastAsia="zh-CN"/>
        </w:rPr>
        <w:t>计划与执行脱节，调度成本被放大。人工智能等技术被顺丰提出用以优化供应链物流环节，为跨环节数字化协同打好</w:t>
      </w:r>
      <w:r>
        <w:rPr>
          <w:rFonts w:hint="eastAsia" w:ascii="Times New Roman" w:hAnsi="Times New Roman" w:eastAsia="宋体" w:cs="Times New Roman"/>
          <w:sz w:val="24"/>
          <w:lang w:val="en-US" w:eastAsia="zh-CN"/>
        </w:rPr>
        <w:t>坚定的</w:t>
      </w:r>
      <w:r>
        <w:rPr>
          <w:rFonts w:hint="eastAsia" w:ascii="Times New Roman" w:hAnsi="Times New Roman" w:eastAsia="宋体" w:cs="Times New Roman"/>
          <w:sz w:val="24"/>
          <w:lang w:eastAsia="zh-CN"/>
        </w:rPr>
        <w:t>基础，数字化协同方案</w:t>
      </w:r>
      <w:r>
        <w:rPr>
          <w:rFonts w:hint="eastAsia" w:ascii="Times New Roman" w:hAnsi="Times New Roman" w:eastAsia="宋体" w:cs="Times New Roman"/>
          <w:sz w:val="24"/>
          <w:lang w:val="en-US" w:eastAsia="zh-CN"/>
        </w:rPr>
        <w:t>环</w:t>
      </w:r>
      <w:r>
        <w:rPr>
          <w:rFonts w:hint="eastAsia" w:ascii="Times New Roman" w:hAnsi="Times New Roman" w:eastAsia="宋体" w:cs="Times New Roman"/>
          <w:sz w:val="24"/>
          <w:lang w:eastAsia="zh-CN"/>
        </w:rPr>
        <w:t>绕</w:t>
      </w:r>
      <w:r>
        <w:rPr>
          <w:rFonts w:hint="eastAsia" w:ascii="Times New Roman" w:hAnsi="Times New Roman" w:eastAsia="宋体" w:cs="Times New Roman"/>
          <w:sz w:val="24"/>
          <w:lang w:val="en-US" w:eastAsia="zh-CN"/>
        </w:rPr>
        <w:t>三种</w:t>
      </w:r>
      <w:r>
        <w:rPr>
          <w:rFonts w:hint="eastAsia" w:ascii="Times New Roman" w:hAnsi="Times New Roman" w:eastAsia="宋体" w:cs="Times New Roman"/>
          <w:sz w:val="24"/>
          <w:lang w:eastAsia="zh-CN"/>
        </w:rPr>
        <w:t>数据打通展开设计，需求侧数据聚焦订单等信息形成可执行预测，供给侧数据</w:t>
      </w:r>
      <w:r>
        <w:rPr>
          <w:rFonts w:hint="eastAsia" w:ascii="Times New Roman" w:hAnsi="Times New Roman" w:eastAsia="宋体" w:cs="Times New Roman"/>
          <w:sz w:val="24"/>
          <w:lang w:val="en-US" w:eastAsia="zh-CN"/>
        </w:rPr>
        <w:t>集中</w:t>
      </w:r>
      <w:r>
        <w:rPr>
          <w:rFonts w:hint="eastAsia" w:ascii="Times New Roman" w:hAnsi="Times New Roman" w:eastAsia="宋体" w:cs="Times New Roman"/>
          <w:sz w:val="24"/>
          <w:lang w:eastAsia="zh-CN"/>
        </w:rPr>
        <w:t>车辆等信息</w:t>
      </w:r>
      <w:r>
        <w:rPr>
          <w:rFonts w:hint="eastAsia" w:ascii="Times New Roman" w:hAnsi="Times New Roman" w:eastAsia="宋体" w:cs="Times New Roman"/>
          <w:sz w:val="24"/>
          <w:lang w:val="en-US" w:eastAsia="zh-CN"/>
        </w:rPr>
        <w:t>成为</w:t>
      </w:r>
      <w:r>
        <w:rPr>
          <w:rFonts w:hint="eastAsia" w:ascii="Times New Roman" w:hAnsi="Times New Roman" w:eastAsia="宋体" w:cs="Times New Roman"/>
          <w:sz w:val="24"/>
          <w:lang w:eastAsia="zh-CN"/>
        </w:rPr>
        <w:t>可约束的容量</w:t>
      </w:r>
      <w:r>
        <w:rPr>
          <w:rFonts w:hint="eastAsia" w:ascii="Times New Roman" w:hAnsi="Times New Roman" w:eastAsia="宋体" w:cs="Times New Roman"/>
          <w:sz w:val="24"/>
          <w:lang w:val="en-US" w:eastAsia="zh-CN"/>
        </w:rPr>
        <w:t>界限</w:t>
      </w:r>
      <w:r>
        <w:rPr>
          <w:rFonts w:hint="eastAsia" w:ascii="Times New Roman" w:hAnsi="Times New Roman" w:eastAsia="宋体" w:cs="Times New Roman"/>
          <w:sz w:val="24"/>
          <w:lang w:eastAsia="zh-CN"/>
        </w:rPr>
        <w:t>，执行侧数据聚焦到件等信息</w:t>
      </w:r>
      <w:r>
        <w:rPr>
          <w:rFonts w:hint="eastAsia" w:ascii="Times New Roman" w:hAnsi="Times New Roman" w:eastAsia="宋体" w:cs="Times New Roman"/>
          <w:sz w:val="24"/>
          <w:lang w:val="en-US" w:eastAsia="zh-CN"/>
        </w:rPr>
        <w:t>会</w:t>
      </w:r>
      <w:r>
        <w:rPr>
          <w:rFonts w:hint="eastAsia" w:ascii="Times New Roman" w:hAnsi="Times New Roman" w:eastAsia="宋体" w:cs="Times New Roman"/>
          <w:sz w:val="24"/>
          <w:lang w:eastAsia="zh-CN"/>
        </w:rPr>
        <w:t>形成可复盘的过程证据，三类数据在同一平台实现沉淀，闭环管理得</w:t>
      </w:r>
      <w:r>
        <w:rPr>
          <w:rFonts w:hint="eastAsia" w:ascii="Times New Roman" w:hAnsi="Times New Roman" w:eastAsia="宋体" w:cs="Times New Roman"/>
          <w:sz w:val="24"/>
          <w:lang w:val="en-US" w:eastAsia="zh-CN"/>
        </w:rPr>
        <w:t>到</w:t>
      </w:r>
      <w:r>
        <w:rPr>
          <w:rFonts w:hint="eastAsia" w:ascii="Times New Roman" w:hAnsi="Times New Roman" w:eastAsia="宋体" w:cs="Times New Roman"/>
          <w:sz w:val="24"/>
          <w:lang w:eastAsia="zh-CN"/>
        </w:rPr>
        <w:t>完成协同能力转化为降本能力，数字化协同落实于业务</w:t>
      </w:r>
      <w:r>
        <w:rPr>
          <w:rFonts w:hint="eastAsia" w:ascii="Times New Roman" w:hAnsi="Times New Roman" w:eastAsia="宋体" w:cs="Times New Roman"/>
          <w:sz w:val="24"/>
          <w:lang w:val="en-US" w:eastAsia="zh-CN"/>
        </w:rPr>
        <w:t>过程</w:t>
      </w:r>
      <w:r>
        <w:rPr>
          <w:rFonts w:hint="eastAsia" w:ascii="Times New Roman" w:hAnsi="Times New Roman" w:eastAsia="宋体" w:cs="Times New Roman"/>
          <w:sz w:val="24"/>
          <w:lang w:eastAsia="zh-CN"/>
        </w:rPr>
        <w:t>，可按表4 - 3明确数据标准明确协同</w:t>
      </w:r>
      <w:r>
        <w:rPr>
          <w:rFonts w:hint="eastAsia" w:ascii="Times New Roman" w:hAnsi="Times New Roman" w:eastAsia="宋体" w:cs="Times New Roman"/>
          <w:sz w:val="24"/>
          <w:lang w:val="en-US" w:eastAsia="zh-CN"/>
        </w:rPr>
        <w:t>的</w:t>
      </w:r>
      <w:r>
        <w:rPr>
          <w:rFonts w:hint="eastAsia" w:ascii="Times New Roman" w:hAnsi="Times New Roman" w:eastAsia="宋体" w:cs="Times New Roman"/>
          <w:sz w:val="24"/>
          <w:lang w:eastAsia="zh-CN"/>
        </w:rPr>
        <w:t>场景。</w:t>
      </w:r>
    </w:p>
    <w:p w14:paraId="1DB300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表4-3</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跨环节数据互联的协同场景与数据标准设计</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178"/>
        <w:gridCol w:w="1831"/>
        <w:gridCol w:w="898"/>
        <w:gridCol w:w="1831"/>
        <w:gridCol w:w="2602"/>
      </w:tblGrid>
      <w:tr w14:paraId="56A9E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706" w:type="pct"/>
            <w:tcBorders>
              <w:top w:val="single" w:color="000000" w:sz="12" w:space="0"/>
              <w:bottom w:val="single" w:color="000000" w:sz="4" w:space="0"/>
              <w:tl2br w:val="nil"/>
            </w:tcBorders>
            <w:shd w:val="clear" w:color="auto" w:fill="FFFFFF"/>
            <w:vAlign w:val="center"/>
          </w:tcPr>
          <w:p w14:paraId="651CA2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协同场景</w:t>
            </w:r>
          </w:p>
        </w:tc>
        <w:tc>
          <w:tcPr>
            <w:tcW w:w="1097" w:type="pct"/>
            <w:tcBorders>
              <w:top w:val="single" w:color="000000" w:sz="12" w:space="0"/>
              <w:bottom w:val="single" w:color="000000" w:sz="4" w:space="0"/>
            </w:tcBorders>
            <w:shd w:val="clear" w:color="auto" w:fill="FFFFFF"/>
            <w:vAlign w:val="center"/>
          </w:tcPr>
          <w:p w14:paraId="53A057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关键数据要素</w:t>
            </w:r>
          </w:p>
        </w:tc>
        <w:tc>
          <w:tcPr>
            <w:tcW w:w="538" w:type="pct"/>
            <w:tcBorders>
              <w:top w:val="single" w:color="000000" w:sz="12" w:space="0"/>
              <w:bottom w:val="single" w:color="000000" w:sz="4" w:space="0"/>
            </w:tcBorders>
            <w:shd w:val="clear" w:color="auto" w:fill="FFFFFF"/>
            <w:vAlign w:val="center"/>
          </w:tcPr>
          <w:p w14:paraId="794081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涉及环节</w:t>
            </w:r>
          </w:p>
        </w:tc>
        <w:tc>
          <w:tcPr>
            <w:tcW w:w="1097" w:type="pct"/>
            <w:tcBorders>
              <w:top w:val="single" w:color="000000" w:sz="12" w:space="0"/>
              <w:bottom w:val="single" w:color="000000" w:sz="4" w:space="0"/>
            </w:tcBorders>
            <w:shd w:val="clear" w:color="auto" w:fill="FFFFFF"/>
            <w:vAlign w:val="center"/>
          </w:tcPr>
          <w:p w14:paraId="05344E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成本影响路径</w:t>
            </w:r>
          </w:p>
        </w:tc>
        <w:tc>
          <w:tcPr>
            <w:tcW w:w="1559" w:type="pct"/>
            <w:tcBorders>
              <w:top w:val="single" w:color="000000" w:sz="12" w:space="0"/>
              <w:bottom w:val="single" w:color="000000" w:sz="4" w:space="0"/>
            </w:tcBorders>
            <w:shd w:val="clear" w:color="auto" w:fill="FFFFFF"/>
            <w:vAlign w:val="center"/>
          </w:tcPr>
          <w:p w14:paraId="4BA7A2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数据标准与系统设计要点</w:t>
            </w:r>
          </w:p>
        </w:tc>
      </w:tr>
      <w:tr w14:paraId="1D703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706" w:type="pct"/>
            <w:tcBorders>
              <w:top w:val="single" w:color="000000" w:sz="4" w:space="0"/>
            </w:tcBorders>
            <w:shd w:val="clear" w:color="auto" w:fill="FFFFFF"/>
            <w:vAlign w:val="center"/>
          </w:tcPr>
          <w:p w14:paraId="6EA556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预测驱动的线路计划</w:t>
            </w:r>
          </w:p>
        </w:tc>
        <w:tc>
          <w:tcPr>
            <w:tcW w:w="1097" w:type="pct"/>
            <w:tcBorders>
              <w:top w:val="single" w:color="000000" w:sz="4" w:space="0"/>
            </w:tcBorders>
            <w:shd w:val="clear" w:color="auto" w:fill="FFFFFF"/>
            <w:vAlign w:val="center"/>
          </w:tcPr>
          <w:p w14:paraId="4CA6F5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分区域货量预测与产品结构与时效承诺</w:t>
            </w:r>
          </w:p>
        </w:tc>
        <w:tc>
          <w:tcPr>
            <w:tcW w:w="538" w:type="pct"/>
            <w:tcBorders>
              <w:top w:val="single" w:color="000000" w:sz="4" w:space="0"/>
            </w:tcBorders>
            <w:shd w:val="clear" w:color="auto" w:fill="FFFFFF"/>
            <w:vAlign w:val="center"/>
          </w:tcPr>
          <w:p w14:paraId="2402EA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收派与转运与运输</w:t>
            </w:r>
          </w:p>
        </w:tc>
        <w:tc>
          <w:tcPr>
            <w:tcW w:w="1097" w:type="pct"/>
            <w:tcBorders>
              <w:top w:val="single" w:color="000000" w:sz="4" w:space="0"/>
            </w:tcBorders>
            <w:shd w:val="clear" w:color="auto" w:fill="FFFFFF"/>
            <w:vAlign w:val="center"/>
          </w:tcPr>
          <w:p w14:paraId="1D2861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预测偏差降低可减少临时加车与临时改线</w:t>
            </w:r>
          </w:p>
        </w:tc>
        <w:tc>
          <w:tcPr>
            <w:tcW w:w="1559" w:type="pct"/>
            <w:tcBorders>
              <w:top w:val="single" w:color="000000" w:sz="4" w:space="0"/>
            </w:tcBorders>
            <w:shd w:val="clear" w:color="auto" w:fill="FFFFFF"/>
            <w:vAlign w:val="center"/>
          </w:tcPr>
          <w:p w14:paraId="60541A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建立统一预测口径并与排班系统联动，预测偏差按日复盘</w:t>
            </w:r>
          </w:p>
        </w:tc>
      </w:tr>
      <w:tr w14:paraId="35D5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706" w:type="pct"/>
            <w:shd w:val="clear" w:color="auto" w:fill="FFFFFF"/>
            <w:vAlign w:val="center"/>
          </w:tcPr>
          <w:p w14:paraId="19546E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容量边界下的动态路由</w:t>
            </w:r>
          </w:p>
        </w:tc>
        <w:tc>
          <w:tcPr>
            <w:tcW w:w="1097" w:type="pct"/>
            <w:shd w:val="clear" w:color="auto" w:fill="FFFFFF"/>
            <w:vAlign w:val="center"/>
          </w:tcPr>
          <w:p w14:paraId="6D28D5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车辆与航班容量与班次窗口与装载上限</w:t>
            </w:r>
          </w:p>
        </w:tc>
        <w:tc>
          <w:tcPr>
            <w:tcW w:w="538" w:type="pct"/>
            <w:shd w:val="clear" w:color="auto" w:fill="FFFFFF"/>
            <w:vAlign w:val="center"/>
          </w:tcPr>
          <w:p w14:paraId="733382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转运与运输</w:t>
            </w:r>
          </w:p>
        </w:tc>
        <w:tc>
          <w:tcPr>
            <w:tcW w:w="1097" w:type="pct"/>
            <w:shd w:val="clear" w:color="auto" w:fill="FFFFFF"/>
            <w:vAlign w:val="center"/>
          </w:tcPr>
          <w:p w14:paraId="5BC609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减少绕行与减少中转并提升装载</w:t>
            </w:r>
          </w:p>
        </w:tc>
        <w:tc>
          <w:tcPr>
            <w:tcW w:w="1559" w:type="pct"/>
            <w:shd w:val="clear" w:color="auto" w:fill="FFFFFF"/>
            <w:vAlign w:val="center"/>
          </w:tcPr>
          <w:p w14:paraId="09553F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路由规则统一编码，容量以同口径实时更新并可追溯</w:t>
            </w:r>
          </w:p>
        </w:tc>
      </w:tr>
      <w:tr w14:paraId="0D47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706" w:type="pct"/>
            <w:shd w:val="clear" w:color="auto" w:fill="FFFFFF"/>
            <w:vAlign w:val="center"/>
          </w:tcPr>
          <w:p w14:paraId="2E966D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异常工单闭环与责任追踪</w:t>
            </w:r>
          </w:p>
        </w:tc>
        <w:tc>
          <w:tcPr>
            <w:tcW w:w="1097" w:type="pct"/>
            <w:shd w:val="clear" w:color="auto" w:fill="FFFFFF"/>
            <w:vAlign w:val="center"/>
          </w:tcPr>
          <w:p w14:paraId="5B21BC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异常类型与原因码与处置时长与补救动作</w:t>
            </w:r>
          </w:p>
        </w:tc>
        <w:tc>
          <w:tcPr>
            <w:tcW w:w="538" w:type="pct"/>
            <w:shd w:val="clear" w:color="auto" w:fill="FFFFFF"/>
            <w:vAlign w:val="center"/>
          </w:tcPr>
          <w:p w14:paraId="155993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全链路</w:t>
            </w:r>
          </w:p>
        </w:tc>
        <w:tc>
          <w:tcPr>
            <w:tcW w:w="1097" w:type="pct"/>
            <w:shd w:val="clear" w:color="auto" w:fill="FFFFFF"/>
            <w:vAlign w:val="center"/>
          </w:tcPr>
          <w:p w14:paraId="6B80DA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缩短异常时长可降低重复搬运与重复调度</w:t>
            </w:r>
          </w:p>
        </w:tc>
        <w:tc>
          <w:tcPr>
            <w:tcW w:w="1559" w:type="pct"/>
            <w:shd w:val="clear" w:color="auto" w:fill="FFFFFF"/>
            <w:vAlign w:val="center"/>
          </w:tcPr>
          <w:p w14:paraId="52EDDA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异常原因码统一并绑定责任单元，闭环结果进入考核</w:t>
            </w:r>
          </w:p>
        </w:tc>
      </w:tr>
      <w:tr w14:paraId="35C35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706" w:type="pct"/>
            <w:tcBorders>
              <w:bottom w:val="single" w:color="000000" w:sz="12" w:space="0"/>
            </w:tcBorders>
            <w:shd w:val="clear" w:color="auto" w:fill="FFFFFF"/>
            <w:vAlign w:val="center"/>
          </w:tcPr>
          <w:p w14:paraId="44801F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事中监控与事后效益复盘</w:t>
            </w:r>
          </w:p>
        </w:tc>
        <w:tc>
          <w:tcPr>
            <w:tcW w:w="1097" w:type="pct"/>
            <w:tcBorders>
              <w:bottom w:val="single" w:color="000000" w:sz="12" w:space="0"/>
            </w:tcBorders>
            <w:shd w:val="clear" w:color="auto" w:fill="FFFFFF"/>
            <w:vAlign w:val="center"/>
          </w:tcPr>
          <w:p w14:paraId="0773BD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关键节点达成与波次达成与成本变化</w:t>
            </w:r>
          </w:p>
        </w:tc>
        <w:tc>
          <w:tcPr>
            <w:tcW w:w="538" w:type="pct"/>
            <w:tcBorders>
              <w:bottom w:val="single" w:color="000000" w:sz="12" w:space="0"/>
            </w:tcBorders>
            <w:shd w:val="clear" w:color="auto" w:fill="FFFFFF"/>
            <w:vAlign w:val="center"/>
          </w:tcPr>
          <w:p w14:paraId="5DB8EF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全链路</w:t>
            </w:r>
          </w:p>
        </w:tc>
        <w:tc>
          <w:tcPr>
            <w:tcW w:w="1097" w:type="pct"/>
            <w:tcBorders>
              <w:bottom w:val="single" w:color="000000" w:sz="12" w:space="0"/>
            </w:tcBorders>
            <w:shd w:val="clear" w:color="auto" w:fill="FFFFFF"/>
            <w:vAlign w:val="center"/>
          </w:tcPr>
          <w:p w14:paraId="034AC7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复盘可识别高成本线路与高损耗节点</w:t>
            </w:r>
          </w:p>
        </w:tc>
        <w:tc>
          <w:tcPr>
            <w:tcW w:w="1559" w:type="pct"/>
            <w:tcBorders>
              <w:bottom w:val="single" w:color="000000" w:sz="12" w:space="0"/>
            </w:tcBorders>
            <w:shd w:val="clear" w:color="auto" w:fill="FFFFFF"/>
            <w:vAlign w:val="center"/>
          </w:tcPr>
          <w:p w14:paraId="5DA80A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监控指标统一定义，复盘输出固定模板并纳入改进库</w:t>
            </w:r>
          </w:p>
        </w:tc>
      </w:tr>
    </w:tbl>
    <w:p w14:paraId="2F7750F2">
      <w:pPr>
        <w:spacing w:line="300" w:lineRule="auto"/>
        <w:ind w:firstLine="480" w:firstLineChars="200"/>
        <w:rPr>
          <w:rFonts w:hint="eastAsia" w:ascii="Times New Roman" w:hAnsi="Times New Roman" w:eastAsia="宋体" w:cs="Times New Roman"/>
          <w:sz w:val="24"/>
        </w:rPr>
      </w:pPr>
    </w:p>
    <w:p w14:paraId="7000178B">
      <w:pPr>
        <w:keepNext w:val="0"/>
        <w:keepLines w:val="0"/>
        <w:pageBreakBefore w:val="0"/>
        <w:widowControl w:val="0"/>
        <w:kinsoku/>
        <w:wordWrap/>
        <w:overflowPunct/>
        <w:topLinePunct w:val="0"/>
        <w:autoSpaceDE/>
        <w:autoSpaceDN/>
        <w:bidi w:val="0"/>
        <w:adjustRightInd/>
        <w:snapToGrid/>
        <w:spacing w:before="156" w:beforeLines="50" w:line="300" w:lineRule="auto"/>
        <w:textAlignment w:val="auto"/>
        <w:outlineLvl w:val="1"/>
        <w:rPr>
          <w:rStyle w:val="16"/>
          <w:rFonts w:hint="eastAsia" w:ascii="Times New Roman" w:hAnsi="Times New Roman" w:eastAsia="黑体" w:cs="Times New Roman"/>
          <w:b w:val="0"/>
          <w:bCs w:val="0"/>
          <w:kern w:val="2"/>
          <w:sz w:val="28"/>
          <w:szCs w:val="28"/>
          <w:lang w:bidi="ar-SA"/>
        </w:rPr>
      </w:pPr>
      <w:bookmarkStart w:id="19" w:name="_Toc24135"/>
      <w:r>
        <w:rPr>
          <w:rStyle w:val="16"/>
          <w:rFonts w:hint="eastAsia" w:ascii="Times New Roman" w:hAnsi="Times New Roman" w:eastAsia="黑体" w:cs="Times New Roman"/>
          <w:b w:val="0"/>
          <w:bCs w:val="0"/>
          <w:kern w:val="2"/>
          <w:sz w:val="28"/>
          <w:szCs w:val="28"/>
          <w:lang w:bidi="ar-SA"/>
        </w:rPr>
        <w:t>4.4</w:t>
      </w:r>
      <w:r>
        <w:rPr>
          <w:rStyle w:val="16"/>
          <w:rFonts w:hint="eastAsia" w:ascii="Times New Roman" w:hAnsi="Times New Roman" w:eastAsia="黑体" w:cs="Times New Roman"/>
          <w:b w:val="0"/>
          <w:bCs w:val="0"/>
          <w:kern w:val="2"/>
          <w:sz w:val="28"/>
          <w:szCs w:val="28"/>
          <w:lang w:val="en-US" w:bidi="ar-SA"/>
        </w:rPr>
        <w:t xml:space="preserve"> </w:t>
      </w:r>
      <w:r>
        <w:rPr>
          <w:rStyle w:val="16"/>
          <w:rFonts w:hint="eastAsia" w:ascii="Times New Roman" w:hAnsi="Times New Roman" w:eastAsia="黑体" w:cs="Times New Roman"/>
          <w:b w:val="0"/>
          <w:bCs w:val="0"/>
          <w:kern w:val="2"/>
          <w:sz w:val="28"/>
          <w:szCs w:val="28"/>
          <w:lang w:bidi="ar-SA"/>
        </w:rPr>
        <w:t>建立降本增效的考核与持续改进机制</w:t>
      </w:r>
      <w:bookmarkEnd w:id="19"/>
    </w:p>
    <w:p w14:paraId="2DC136EA">
      <w:pPr>
        <w:spacing w:line="30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降本增效应警惕短期化倾向以考核机制固化改进的导向，在宏观层面社会物流成本降低成主要的目标，2023年社会物流总费用与国内生产总值比率为14.4%，期望2027年降至13.5%左右，为企业中长期目标提供量化参考，企业层面考核需要坚持三类统一，指标应基于统一核算体系生成防止多版本的数据出现，集团到事业部再到网点线路逐级拆解指标可明确责任的边界，成本指标与时效质量指标需同向约束不可牺牲服务承诺，顺丰还披露经批准科学碳目标提出2050年全价值链净零排放承诺，表明绿色与效率成为长期治理重要内容，考核体系可纳入能耗碳指标协同促进降本及绿色。（见表4-4）</w:t>
      </w:r>
    </w:p>
    <w:p w14:paraId="27A92A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表4-4</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rPr>
        <w:t>降本增效考核指标与持续改进闭环设计</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79"/>
        <w:gridCol w:w="1984"/>
        <w:gridCol w:w="2579"/>
        <w:gridCol w:w="679"/>
        <w:gridCol w:w="2419"/>
      </w:tblGrid>
      <w:tr w14:paraId="66E06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tblHeader/>
        </w:trPr>
        <w:tc>
          <w:tcPr>
            <w:tcW w:w="407" w:type="pct"/>
            <w:tcBorders>
              <w:top w:val="single" w:color="000000" w:sz="12" w:space="0"/>
              <w:bottom w:val="single" w:color="000000" w:sz="4" w:space="0"/>
              <w:tl2br w:val="nil"/>
            </w:tcBorders>
            <w:shd w:val="clear" w:color="auto" w:fill="FFFFFF"/>
            <w:vAlign w:val="center"/>
          </w:tcPr>
          <w:p w14:paraId="665A51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维度</w:t>
            </w:r>
          </w:p>
        </w:tc>
        <w:tc>
          <w:tcPr>
            <w:tcW w:w="1189" w:type="pct"/>
            <w:tcBorders>
              <w:top w:val="single" w:color="000000" w:sz="12" w:space="0"/>
              <w:bottom w:val="single" w:color="000000" w:sz="4" w:space="0"/>
            </w:tcBorders>
            <w:shd w:val="clear" w:color="auto" w:fill="FFFFFF"/>
            <w:vAlign w:val="center"/>
          </w:tcPr>
          <w:p w14:paraId="5AEE21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指标示例</w:t>
            </w:r>
          </w:p>
        </w:tc>
        <w:tc>
          <w:tcPr>
            <w:tcW w:w="1546" w:type="pct"/>
            <w:tcBorders>
              <w:top w:val="single" w:color="000000" w:sz="12" w:space="0"/>
              <w:bottom w:val="single" w:color="000000" w:sz="4" w:space="0"/>
            </w:tcBorders>
            <w:shd w:val="clear" w:color="auto" w:fill="FFFFFF"/>
            <w:vAlign w:val="center"/>
          </w:tcPr>
          <w:p w14:paraId="479049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基准依据与目标锚点</w:t>
            </w:r>
          </w:p>
        </w:tc>
        <w:tc>
          <w:tcPr>
            <w:tcW w:w="407" w:type="pct"/>
            <w:tcBorders>
              <w:top w:val="single" w:color="000000" w:sz="12" w:space="0"/>
              <w:bottom w:val="single" w:color="000000" w:sz="4" w:space="0"/>
            </w:tcBorders>
            <w:shd w:val="clear" w:color="auto" w:fill="FFFFFF"/>
            <w:vAlign w:val="center"/>
          </w:tcPr>
          <w:p w14:paraId="46D777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频率</w:t>
            </w:r>
          </w:p>
        </w:tc>
        <w:tc>
          <w:tcPr>
            <w:tcW w:w="1450" w:type="pct"/>
            <w:tcBorders>
              <w:top w:val="single" w:color="000000" w:sz="12" w:space="0"/>
              <w:bottom w:val="single" w:color="000000" w:sz="4" w:space="0"/>
            </w:tcBorders>
            <w:shd w:val="clear" w:color="auto" w:fill="FFFFFF"/>
            <w:vAlign w:val="center"/>
          </w:tcPr>
          <w:p w14:paraId="44B6FC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持续改进动作</w:t>
            </w:r>
          </w:p>
        </w:tc>
      </w:tr>
      <w:tr w14:paraId="5B64A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07" w:type="pct"/>
            <w:tcBorders>
              <w:top w:val="single" w:color="000000" w:sz="4" w:space="0"/>
            </w:tcBorders>
            <w:shd w:val="clear" w:color="auto" w:fill="FFFFFF"/>
            <w:vAlign w:val="center"/>
          </w:tcPr>
          <w:p w14:paraId="180799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成本效率</w:t>
            </w:r>
          </w:p>
        </w:tc>
        <w:tc>
          <w:tcPr>
            <w:tcW w:w="1189" w:type="pct"/>
            <w:tcBorders>
              <w:top w:val="single" w:color="000000" w:sz="4" w:space="0"/>
            </w:tcBorders>
            <w:shd w:val="clear" w:color="auto" w:fill="FFFFFF"/>
            <w:vAlign w:val="center"/>
          </w:tcPr>
          <w:p w14:paraId="54D546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单票成本与单公斤成本与单位里程成本</w:t>
            </w:r>
          </w:p>
        </w:tc>
        <w:tc>
          <w:tcPr>
            <w:tcW w:w="1546" w:type="pct"/>
            <w:tcBorders>
              <w:top w:val="single" w:color="000000" w:sz="4" w:space="0"/>
            </w:tcBorders>
            <w:shd w:val="clear" w:color="auto" w:fill="FFFFFF"/>
            <w:vAlign w:val="center"/>
          </w:tcPr>
          <w:p w14:paraId="1DCF98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以单位成本改善作为核心抓手并与运营复盘联动</w:t>
            </w:r>
          </w:p>
        </w:tc>
        <w:tc>
          <w:tcPr>
            <w:tcW w:w="407" w:type="pct"/>
            <w:tcBorders>
              <w:top w:val="single" w:color="000000" w:sz="4" w:space="0"/>
            </w:tcBorders>
            <w:shd w:val="clear" w:color="auto" w:fill="FFFFFF"/>
            <w:vAlign w:val="center"/>
          </w:tcPr>
          <w:p w14:paraId="1DF395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月度与季度</w:t>
            </w:r>
          </w:p>
        </w:tc>
        <w:tc>
          <w:tcPr>
            <w:tcW w:w="1450" w:type="pct"/>
            <w:tcBorders>
              <w:top w:val="single" w:color="000000" w:sz="4" w:space="0"/>
            </w:tcBorders>
            <w:shd w:val="clear" w:color="auto" w:fill="FFFFFF"/>
            <w:vAlign w:val="center"/>
          </w:tcPr>
          <w:p w14:paraId="63ADC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线路对标与异常线路清单化治理并形成整改台账</w:t>
            </w:r>
          </w:p>
        </w:tc>
      </w:tr>
      <w:tr w14:paraId="5BAB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07" w:type="pct"/>
            <w:shd w:val="clear" w:color="auto" w:fill="FFFFFF"/>
            <w:vAlign w:val="center"/>
          </w:tcPr>
          <w:p w14:paraId="6430FE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网络效率</w:t>
            </w:r>
          </w:p>
        </w:tc>
        <w:tc>
          <w:tcPr>
            <w:tcW w:w="1189" w:type="pct"/>
            <w:shd w:val="clear" w:color="auto" w:fill="FFFFFF"/>
            <w:vAlign w:val="center"/>
          </w:tcPr>
          <w:p w14:paraId="2BC717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中转效能与干线装载率与直达比例</w:t>
            </w:r>
          </w:p>
        </w:tc>
        <w:tc>
          <w:tcPr>
            <w:tcW w:w="1546" w:type="pct"/>
            <w:shd w:val="clear" w:color="auto" w:fill="FFFFFF"/>
            <w:vAlign w:val="center"/>
          </w:tcPr>
          <w:p w14:paraId="5FDA67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以中转效能与装载率提升作为可量化抓手</w:t>
            </w:r>
          </w:p>
        </w:tc>
        <w:tc>
          <w:tcPr>
            <w:tcW w:w="407" w:type="pct"/>
            <w:shd w:val="clear" w:color="auto" w:fill="FFFFFF"/>
            <w:vAlign w:val="center"/>
          </w:tcPr>
          <w:p w14:paraId="114D52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周度与月度</w:t>
            </w:r>
          </w:p>
        </w:tc>
        <w:tc>
          <w:tcPr>
            <w:tcW w:w="1450" w:type="pct"/>
            <w:shd w:val="clear" w:color="auto" w:fill="FFFFFF"/>
            <w:vAlign w:val="center"/>
          </w:tcPr>
          <w:p w14:paraId="5DCF92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波次优化与装载规则校核并固化为作业标准</w:t>
            </w:r>
          </w:p>
        </w:tc>
      </w:tr>
      <w:tr w14:paraId="1336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07" w:type="pct"/>
            <w:shd w:val="clear" w:color="auto" w:fill="FFFFFF"/>
            <w:vAlign w:val="center"/>
          </w:tcPr>
          <w:p w14:paraId="6F8688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服务质量</w:t>
            </w:r>
          </w:p>
        </w:tc>
        <w:tc>
          <w:tcPr>
            <w:tcW w:w="1189" w:type="pct"/>
            <w:shd w:val="clear" w:color="auto" w:fill="FFFFFF"/>
            <w:vAlign w:val="center"/>
          </w:tcPr>
          <w:p w14:paraId="288BCA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时效达成与异常闭环时长与客户投诉率</w:t>
            </w:r>
          </w:p>
        </w:tc>
        <w:tc>
          <w:tcPr>
            <w:tcW w:w="1546" w:type="pct"/>
            <w:shd w:val="clear" w:color="auto" w:fill="FFFFFF"/>
            <w:vAlign w:val="center"/>
          </w:tcPr>
          <w:p w14:paraId="66D78B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成本指标与质量指标同向约束</w:t>
            </w:r>
          </w:p>
        </w:tc>
        <w:tc>
          <w:tcPr>
            <w:tcW w:w="407" w:type="pct"/>
            <w:shd w:val="clear" w:color="auto" w:fill="FFFFFF"/>
            <w:vAlign w:val="center"/>
          </w:tcPr>
          <w:p w14:paraId="7AA519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周度与月度</w:t>
            </w:r>
          </w:p>
        </w:tc>
        <w:tc>
          <w:tcPr>
            <w:tcW w:w="1450" w:type="pct"/>
            <w:shd w:val="clear" w:color="auto" w:fill="FFFFFF"/>
            <w:vAlign w:val="center"/>
          </w:tcPr>
          <w:p w14:paraId="141406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异常原因码治理并按责任单元复盘与纠偏</w:t>
            </w:r>
          </w:p>
        </w:tc>
      </w:tr>
      <w:tr w14:paraId="25D2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07" w:type="pct"/>
            <w:shd w:val="clear" w:color="auto" w:fill="FFFFFF"/>
            <w:vAlign w:val="center"/>
          </w:tcPr>
          <w:p w14:paraId="72AE12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绿色低碳</w:t>
            </w:r>
          </w:p>
        </w:tc>
        <w:tc>
          <w:tcPr>
            <w:tcW w:w="1189" w:type="pct"/>
            <w:shd w:val="clear" w:color="auto" w:fill="FFFFFF"/>
            <w:vAlign w:val="center"/>
          </w:tcPr>
          <w:p w14:paraId="2E46BC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碳效率与单票碳足迹与新能源使用比例</w:t>
            </w:r>
          </w:p>
        </w:tc>
        <w:tc>
          <w:tcPr>
            <w:tcW w:w="1546" w:type="pct"/>
            <w:shd w:val="clear" w:color="auto" w:fill="FFFFFF"/>
            <w:vAlign w:val="center"/>
          </w:tcPr>
          <w:p w14:paraId="09BE00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参考国家降本导向并结合企业碳效率提升目标</w:t>
            </w:r>
          </w:p>
        </w:tc>
        <w:tc>
          <w:tcPr>
            <w:tcW w:w="407" w:type="pct"/>
            <w:shd w:val="clear" w:color="auto" w:fill="FFFFFF"/>
            <w:vAlign w:val="center"/>
          </w:tcPr>
          <w:p w14:paraId="7DA93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季度与年度</w:t>
            </w:r>
          </w:p>
        </w:tc>
        <w:tc>
          <w:tcPr>
            <w:tcW w:w="1450" w:type="pct"/>
            <w:shd w:val="clear" w:color="auto" w:fill="FFFFFF"/>
            <w:vAlign w:val="center"/>
          </w:tcPr>
          <w:p w14:paraId="0D371D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用能结构调整与运输模式升级与碳管理平台建设</w:t>
            </w:r>
          </w:p>
        </w:tc>
      </w:tr>
      <w:tr w14:paraId="3E8C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407" w:type="pct"/>
            <w:tcBorders>
              <w:bottom w:val="single" w:color="000000" w:sz="12" w:space="0"/>
            </w:tcBorders>
            <w:shd w:val="clear" w:color="auto" w:fill="FFFFFF"/>
            <w:vAlign w:val="center"/>
          </w:tcPr>
          <w:p w14:paraId="1CCFD0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中长期目标</w:t>
            </w:r>
          </w:p>
        </w:tc>
        <w:tc>
          <w:tcPr>
            <w:tcW w:w="1189" w:type="pct"/>
            <w:tcBorders>
              <w:bottom w:val="single" w:color="000000" w:sz="12" w:space="0"/>
            </w:tcBorders>
            <w:shd w:val="clear" w:color="auto" w:fill="FFFFFF"/>
            <w:vAlign w:val="center"/>
          </w:tcPr>
          <w:p w14:paraId="538DE5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物流成本占比导向的阶段目标</w:t>
            </w:r>
          </w:p>
        </w:tc>
        <w:tc>
          <w:tcPr>
            <w:tcW w:w="1546" w:type="pct"/>
            <w:tcBorders>
              <w:bottom w:val="single" w:color="000000" w:sz="12" w:space="0"/>
            </w:tcBorders>
            <w:shd w:val="clear" w:color="auto" w:fill="FFFFFF"/>
            <w:vAlign w:val="center"/>
          </w:tcPr>
          <w:p w14:paraId="6C3657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2023年14.4%并力争2027年13.5%左右</w:t>
            </w:r>
          </w:p>
        </w:tc>
        <w:tc>
          <w:tcPr>
            <w:tcW w:w="407" w:type="pct"/>
            <w:tcBorders>
              <w:bottom w:val="single" w:color="000000" w:sz="12" w:space="0"/>
            </w:tcBorders>
            <w:shd w:val="clear" w:color="auto" w:fill="FFFFFF"/>
            <w:vAlign w:val="center"/>
          </w:tcPr>
          <w:p w14:paraId="752AF0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年度</w:t>
            </w:r>
          </w:p>
        </w:tc>
        <w:tc>
          <w:tcPr>
            <w:tcW w:w="1450" w:type="pct"/>
            <w:tcBorders>
              <w:bottom w:val="single" w:color="000000" w:sz="12" w:space="0"/>
            </w:tcBorders>
            <w:shd w:val="clear" w:color="auto" w:fill="FFFFFF"/>
            <w:vAlign w:val="center"/>
          </w:tcPr>
          <w:p w14:paraId="7650E0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以年度目标分解牵引重点项目并滚动评估成效</w:t>
            </w:r>
          </w:p>
        </w:tc>
      </w:tr>
    </w:tbl>
    <w:p w14:paraId="085106D1">
      <w:pPr>
        <w:spacing w:line="300" w:lineRule="auto"/>
        <w:ind w:firstLine="480" w:firstLineChars="200"/>
        <w:rPr>
          <w:rFonts w:hint="eastAsia" w:ascii="Times New Roman" w:hAnsi="Times New Roman" w:eastAsia="宋体" w:cs="Times New Roman"/>
          <w:sz w:val="24"/>
        </w:rPr>
      </w:pPr>
    </w:p>
    <w:p w14:paraId="1B417C23">
      <w:pPr>
        <w:pStyle w:val="3"/>
        <w:spacing w:before="156" w:beforeLines="50" w:after="156" w:afterLines="50" w:line="300" w:lineRule="auto"/>
        <w:jc w:val="center"/>
        <w:rPr>
          <w:rFonts w:hint="eastAsia" w:ascii="Times New Roman" w:hAnsi="Times New Roman" w:eastAsia="黑体" w:cs="Times New Roman"/>
          <w:b w:val="0"/>
          <w:bCs w:val="0"/>
          <w:sz w:val="30"/>
          <w:szCs w:val="30"/>
        </w:rPr>
        <w:sectPr>
          <w:pgSz w:w="11906" w:h="16838"/>
          <w:pgMar w:top="1440" w:right="1800" w:bottom="1440" w:left="1800" w:header="851" w:footer="992" w:gutter="0"/>
          <w:pgNumType w:fmt="decimal"/>
          <w:cols w:space="425" w:num="1"/>
          <w:docGrid w:type="lines" w:linePitch="312" w:charSpace="0"/>
        </w:sectPr>
      </w:pPr>
    </w:p>
    <w:p w14:paraId="2C6F6B4A">
      <w:pPr>
        <w:pStyle w:val="3"/>
        <w:spacing w:before="156" w:beforeLines="50" w:after="156" w:afterLines="50" w:line="300" w:lineRule="auto"/>
        <w:jc w:val="center"/>
        <w:rPr>
          <w:rFonts w:hint="eastAsia" w:ascii="Times New Roman" w:hAnsi="Times New Roman" w:eastAsia="黑体" w:cs="Times New Roman"/>
          <w:b w:val="0"/>
          <w:bCs w:val="0"/>
          <w:sz w:val="30"/>
          <w:szCs w:val="30"/>
        </w:rPr>
      </w:pPr>
      <w:bookmarkStart w:id="20" w:name="_Toc20460"/>
      <w:r>
        <w:rPr>
          <w:rFonts w:hint="eastAsia" w:ascii="Times New Roman" w:hAnsi="Times New Roman" w:eastAsia="黑体" w:cs="Times New Roman"/>
          <w:b w:val="0"/>
          <w:bCs w:val="0"/>
          <w:sz w:val="30"/>
          <w:szCs w:val="30"/>
        </w:rPr>
        <w:t>结</w:t>
      </w:r>
      <w:r>
        <w:rPr>
          <w:rFonts w:hint="eastAsia" w:ascii="Times New Roman" w:hAnsi="Times New Roman" w:eastAsia="黑体" w:cs="Times New Roman"/>
          <w:b w:val="0"/>
          <w:bCs w:val="0"/>
          <w:sz w:val="30"/>
          <w:szCs w:val="30"/>
          <w:lang w:val="en-US" w:eastAsia="zh-CN"/>
        </w:rPr>
        <w:t xml:space="preserve">  </w:t>
      </w:r>
      <w:r>
        <w:rPr>
          <w:rFonts w:hint="eastAsia" w:ascii="Times New Roman" w:hAnsi="Times New Roman" w:eastAsia="黑体" w:cs="Times New Roman"/>
          <w:b w:val="0"/>
          <w:bCs w:val="0"/>
          <w:sz w:val="30"/>
          <w:szCs w:val="30"/>
        </w:rPr>
        <w:t>论</w:t>
      </w:r>
      <w:bookmarkEnd w:id="20"/>
    </w:p>
    <w:p w14:paraId="18A0005C">
      <w:pPr>
        <w:spacing w:line="300" w:lineRule="auto"/>
        <w:ind w:firstLine="480" w:firstLineChars="200"/>
        <w:rPr>
          <w:rFonts w:hint="eastAsia" w:ascii="Times New Roman" w:hAnsi="Times New Roman" w:eastAsia="宋体" w:cs="Times New Roman"/>
          <w:sz w:val="24"/>
          <w:lang w:val="en-US" w:eastAsia="zh-CN"/>
        </w:rPr>
      </w:pPr>
      <w:bookmarkStart w:id="21" w:name="_Toc12289"/>
      <w:r>
        <w:rPr>
          <w:rFonts w:hint="eastAsia" w:ascii="Times New Roman" w:hAnsi="Times New Roman" w:eastAsia="宋体" w:cs="Times New Roman"/>
          <w:sz w:val="24"/>
          <w:lang w:val="en-US" w:eastAsia="zh-CN"/>
        </w:rPr>
        <w:t>本文分析顺丰控股物流成本管理案例，利用公开数据发现人工成本运力成本占较多，统一网点核算口径中转场班次线路这些可管理单元成降本的关键点，优化运输网络提高装载率可以减少隐性消耗，数据互联打通预测容量执行回传这些部分，推动跨环节调度向规则驱动数据驱动模式化转换，配套成本考核创建网络效率服务质量同向约束复盘体制机制让降本措施实现可追踪可验证继续更新，该路径符合国家降低全社会物流成本的方向。</w:t>
      </w:r>
    </w:p>
    <w:p w14:paraId="67DD5140">
      <w:pPr>
        <w:pStyle w:val="3"/>
        <w:keepNext/>
        <w:keepLines/>
        <w:pageBreakBefore w:val="0"/>
        <w:widowControl w:val="0"/>
        <w:kinsoku/>
        <w:wordWrap/>
        <w:overflowPunct/>
        <w:topLinePunct w:val="0"/>
        <w:autoSpaceDE/>
        <w:autoSpaceDN/>
        <w:bidi w:val="0"/>
        <w:adjustRightInd/>
        <w:snapToGrid/>
        <w:spacing w:before="120" w:after="120" w:line="300" w:lineRule="auto"/>
        <w:jc w:val="left"/>
        <w:textAlignment w:val="auto"/>
        <w:rPr>
          <w:rFonts w:hint="eastAsia" w:ascii="Times New Roman" w:hAnsi="Times New Roman" w:eastAsia="黑体" w:cs="Times New Roman"/>
          <w:b w:val="0"/>
          <w:bCs w:val="0"/>
          <w:sz w:val="28"/>
          <w:szCs w:val="28"/>
          <w:lang w:val="en-US" w:eastAsia="zh-CN"/>
        </w:rPr>
        <w:sectPr>
          <w:pgSz w:w="11906" w:h="16838"/>
          <w:pgMar w:top="1440" w:right="1800" w:bottom="1440" w:left="1800" w:header="851" w:footer="992" w:gutter="0"/>
          <w:pgNumType w:fmt="decimal"/>
          <w:cols w:space="425" w:num="1"/>
          <w:docGrid w:type="lines" w:linePitch="312" w:charSpace="0"/>
        </w:sectPr>
      </w:pPr>
    </w:p>
    <w:p w14:paraId="54C85C57">
      <w:pPr>
        <w:pStyle w:val="3"/>
        <w:keepNext/>
        <w:keepLines/>
        <w:pageBreakBefore w:val="0"/>
        <w:widowControl w:val="0"/>
        <w:kinsoku/>
        <w:wordWrap/>
        <w:overflowPunct/>
        <w:topLinePunct w:val="0"/>
        <w:autoSpaceDE/>
        <w:autoSpaceDN/>
        <w:bidi w:val="0"/>
        <w:adjustRightInd/>
        <w:snapToGrid/>
        <w:spacing w:before="120" w:after="120" w:line="300" w:lineRule="auto"/>
        <w:jc w:val="left"/>
        <w:textAlignment w:val="auto"/>
        <w:rPr>
          <w:rFonts w:hint="eastAsia" w:ascii="Times New Roman" w:hAnsi="Times New Roman" w:eastAsia="黑体" w:cs="Times New Roman"/>
          <w:b w:val="0"/>
          <w:bCs w:val="0"/>
          <w:sz w:val="28"/>
          <w:szCs w:val="28"/>
          <w:lang w:val="en-US" w:eastAsia="zh-CN"/>
        </w:rPr>
      </w:pPr>
      <w:r>
        <w:rPr>
          <w:rFonts w:hint="eastAsia" w:ascii="Times New Roman" w:hAnsi="Times New Roman" w:eastAsia="黑体" w:cs="Times New Roman"/>
          <w:b w:val="0"/>
          <w:bCs w:val="0"/>
          <w:sz w:val="28"/>
          <w:szCs w:val="28"/>
          <w:lang w:val="en-US" w:eastAsia="zh-CN"/>
        </w:rPr>
        <w:t>参考文献</w:t>
      </w:r>
      <w:bookmarkEnd w:id="21"/>
    </w:p>
    <w:p w14:paraId="17B18176">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2" w:name="_Ref5592"/>
      <w:r>
        <w:rPr>
          <w:rFonts w:hint="eastAsia" w:ascii="Times New Roman" w:hAnsi="Times New Roman" w:eastAsia="宋体" w:cs="Times New Roman"/>
          <w:szCs w:val="21"/>
          <w:lang w:val="en-US" w:eastAsia="zh-CN"/>
        </w:rPr>
        <w:t>姜雨欣. 数字化转型对中国物流企业降本增效的影响研究[J]. 国际商务财会, 2025,(23):43-46+51.</w:t>
      </w:r>
      <w:bookmarkEnd w:id="22"/>
    </w:p>
    <w:p w14:paraId="25E327F6">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3" w:name="_Ref5609"/>
      <w:r>
        <w:rPr>
          <w:rFonts w:hint="eastAsia" w:ascii="Times New Roman" w:hAnsi="Times New Roman" w:eastAsia="宋体" w:cs="Times New Roman"/>
          <w:szCs w:val="21"/>
          <w:lang w:val="en-US" w:eastAsia="zh-CN"/>
        </w:rPr>
        <w:t>吴志林. 大数据驱动下物流企业成本管控与财务绩效优化[J]. 中国航务周刊, 2025,(49):60-62.</w:t>
      </w:r>
      <w:bookmarkEnd w:id="23"/>
    </w:p>
    <w:p w14:paraId="0C17399E">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4" w:name="_Ref5625"/>
      <w:r>
        <w:rPr>
          <w:rFonts w:hint="eastAsia" w:ascii="Times New Roman" w:hAnsi="Times New Roman" w:eastAsia="宋体" w:cs="Times New Roman"/>
          <w:szCs w:val="21"/>
          <w:lang w:val="en-US" w:eastAsia="zh-CN"/>
        </w:rPr>
        <w:t>苏利平, 张贝妮. 基于价值链的T物流公司成本管理研究[J]. 现代商业, 2025,(23):104-107.</w:t>
      </w:r>
      <w:bookmarkEnd w:id="24"/>
    </w:p>
    <w:p w14:paraId="1847358D">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5" w:name="_Ref5645"/>
      <w:r>
        <w:rPr>
          <w:rFonts w:hint="eastAsia" w:ascii="Times New Roman" w:hAnsi="Times New Roman" w:eastAsia="宋体" w:cs="Times New Roman"/>
          <w:szCs w:val="21"/>
          <w:lang w:val="en-US" w:eastAsia="zh-CN"/>
        </w:rPr>
        <w:t>李小芬, 石大千. 统仓共配、供应链治理与物流成本控制[J]. 商业经济研究, 2025,(21):89-92.</w:t>
      </w:r>
      <w:bookmarkEnd w:id="25"/>
    </w:p>
    <w:p w14:paraId="18A514DF">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6" w:name="_Ref5661"/>
      <w:r>
        <w:rPr>
          <w:rFonts w:hint="eastAsia" w:ascii="Times New Roman" w:hAnsi="Times New Roman" w:eastAsia="宋体" w:cs="Times New Roman"/>
          <w:szCs w:val="21"/>
          <w:lang w:val="en-US" w:eastAsia="zh-CN"/>
        </w:rPr>
        <w:t>邱菊, 张冬雪. 精益思想赋能仓储物流成本控制研究[J]. 中国储运, 2025,(11):56.寇振国. 典型案例驱动的交通物流降本提质增效路径研究——基于扎根理论的探索性分析[J]. 中国市场, 2025,(30):166-169.</w:t>
      </w:r>
      <w:bookmarkEnd w:id="26"/>
    </w:p>
    <w:p w14:paraId="3B01EC80">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7" w:name="_Ref5677"/>
      <w:r>
        <w:rPr>
          <w:rFonts w:hint="eastAsia" w:ascii="Times New Roman" w:hAnsi="Times New Roman" w:eastAsia="宋体" w:cs="Times New Roman"/>
          <w:szCs w:val="21"/>
          <w:lang w:val="en-US" w:eastAsia="zh-CN"/>
        </w:rPr>
        <w:t>郭茜, 桂如明. 物流成本链关联网络结构演化特征及驱动因素[J]. 开发研究, 2025,(04):108-119.</w:t>
      </w:r>
      <w:bookmarkEnd w:id="27"/>
    </w:p>
    <w:p w14:paraId="0A262796">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8" w:name="_Ref5694"/>
      <w:r>
        <w:rPr>
          <w:rFonts w:hint="eastAsia" w:ascii="Times New Roman" w:hAnsi="Times New Roman" w:eastAsia="宋体" w:cs="Times New Roman"/>
          <w:szCs w:val="21"/>
          <w:lang w:val="en-US" w:eastAsia="zh-CN"/>
        </w:rPr>
        <w:t>高寒. 物流企业内部会计成本控制策略与优化路径研究[J]. 中国储运, 2025,(11):238-239.</w:t>
      </w:r>
      <w:bookmarkEnd w:id="28"/>
    </w:p>
    <w:p w14:paraId="718981F7">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29" w:name="_Ref5716"/>
      <w:r>
        <w:rPr>
          <w:rFonts w:hint="eastAsia" w:ascii="Times New Roman" w:hAnsi="Times New Roman" w:eastAsia="宋体" w:cs="Times New Roman"/>
          <w:szCs w:val="21"/>
          <w:lang w:val="en-US" w:eastAsia="zh-CN"/>
        </w:rPr>
        <w:t>徐进立,黄俊波,胡浩东,等. 发挥铁路专用线降低物流成本作用的对策研究[J].铁路物流,2025,43(10):11-16.</w:t>
      </w:r>
      <w:bookmarkEnd w:id="29"/>
    </w:p>
    <w:p w14:paraId="4D5F814E">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315" w:leftChars="0" w:hanging="315" w:hangingChars="150"/>
        <w:textAlignment w:val="auto"/>
        <w:rPr>
          <w:rFonts w:hint="eastAsia" w:ascii="Times New Roman" w:hAnsi="Times New Roman" w:eastAsia="宋体" w:cs="Times New Roman"/>
          <w:szCs w:val="21"/>
          <w:lang w:val="en-US" w:eastAsia="zh-CN"/>
        </w:rPr>
      </w:pPr>
      <w:bookmarkStart w:id="30" w:name="_Ref5733"/>
      <w:r>
        <w:rPr>
          <w:rFonts w:hint="eastAsia" w:ascii="Times New Roman" w:hAnsi="Times New Roman" w:eastAsia="宋体" w:cs="Times New Roman"/>
          <w:szCs w:val="21"/>
          <w:lang w:val="en-US" w:eastAsia="zh-CN"/>
        </w:rPr>
        <w:t>吴阿咪. 新质生产力驱动企业物流成本降低的机制与路径[J].全国流通经济,2025,(11):145-148.</w:t>
      </w:r>
      <w:bookmarkEnd w:id="30"/>
    </w:p>
    <w:p w14:paraId="755F34E2">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00" w:lineRule="auto"/>
        <w:ind w:left="0" w:leftChars="0" w:firstLine="0" w:firstLineChars="0"/>
        <w:textAlignment w:val="auto"/>
        <w:rPr>
          <w:rFonts w:hint="eastAsia" w:ascii="Times New Roman" w:hAnsi="Times New Roman" w:eastAsia="宋体" w:cs="Times New Roman"/>
          <w:szCs w:val="21"/>
          <w:lang w:val="en-US" w:eastAsia="zh-CN"/>
        </w:rPr>
        <w:sectPr>
          <w:pgSz w:w="11906" w:h="16838"/>
          <w:pgMar w:top="1440" w:right="1800" w:bottom="1440" w:left="1800" w:header="851" w:footer="992" w:gutter="0"/>
          <w:pgNumType w:fmt="decimal"/>
          <w:cols w:space="425" w:num="1"/>
          <w:docGrid w:type="lines" w:linePitch="312" w:charSpace="0"/>
        </w:sectPr>
      </w:pPr>
      <w:bookmarkStart w:id="31" w:name="_Ref5752"/>
      <w:r>
        <w:rPr>
          <w:rFonts w:hint="eastAsia" w:ascii="Times New Roman" w:hAnsi="Times New Roman" w:eastAsia="宋体" w:cs="Times New Roman"/>
          <w:szCs w:val="21"/>
          <w:lang w:val="en-US" w:eastAsia="zh-CN"/>
        </w:rPr>
        <w:t>刘兵. 绿色物流理念降低企业物流成本的应用研究[J].中国物价,2025,(05):36-41.</w:t>
      </w:r>
      <w:bookmarkEnd w:id="31"/>
    </w:p>
    <w:p w14:paraId="03B5E311">
      <w:pPr>
        <w:pStyle w:val="3"/>
        <w:spacing w:before="120" w:after="120" w:line="300" w:lineRule="auto"/>
        <w:ind w:firstLine="3300" w:firstLineChars="1100"/>
        <w:jc w:val="both"/>
        <w:rPr>
          <w:rStyle w:val="17"/>
          <w:rFonts w:hint="eastAsia" w:eastAsia="黑体"/>
          <w:b w:val="0"/>
          <w:bCs w:val="0"/>
          <w:sz w:val="30"/>
          <w:lang w:val="en-US" w:eastAsia="zh-CN"/>
        </w:rPr>
      </w:pPr>
      <w:bookmarkStart w:id="32" w:name="_Toc22247"/>
      <w:r>
        <w:rPr>
          <w:rStyle w:val="17"/>
          <w:rFonts w:hint="eastAsia" w:eastAsia="黑体"/>
          <w:b w:val="0"/>
          <w:bCs w:val="0"/>
          <w:sz w:val="30"/>
          <w:lang w:val="en-US" w:eastAsia="zh-CN"/>
        </w:rPr>
        <w:t>致  谢</w:t>
      </w:r>
      <w:bookmarkEnd w:id="32"/>
    </w:p>
    <w:p w14:paraId="4B641F7D">
      <w:pPr>
        <w:spacing w:line="300" w:lineRule="auto"/>
        <w:ind w:firstLine="480" w:firstLineChars="200"/>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论文撰写时老师耐心指导,凭借其专业素养，研究题目得以确定，论文结构获得规划，写作进程被引导修改建议得以提出,个人思路因此更清晰论证也更严密，学院教师团队同样值得感谢,课程教学资料检索他们提供支持，本人专业基础他们的教导得以奠定，学术分析能力获得提升，同窗的协助也须提及，学术讨论资料整理他们参与其中，论文写作效率因此提高，所有给予帮助的老师和同学在此衷心感谢。</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2288">
    <w:pPr>
      <w:pStyle w:val="7"/>
      <w:jc w:val="center"/>
    </w:pPr>
  </w:p>
  <w:p w14:paraId="4AF5979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1F56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7100A">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4E8F">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2C490">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95DB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F695DB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C9ED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5CA0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35CA0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16450">
    <w:pPr>
      <w:pStyle w:val="8"/>
      <w:pBdr>
        <w:bottom w:val="none" w:color="auto" w:sz="0" w:space="1"/>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75770">
    <w:pPr>
      <w:keepNext/>
      <w:keepLines/>
      <w:pageBreakBefore w:val="0"/>
      <w:widowControl w:val="0"/>
      <w:pBdr>
        <w:bottom w:val="single" w:color="auto" w:sz="4" w:space="0"/>
      </w:pBdr>
      <w:kinsoku/>
      <w:wordWrap/>
      <w:overflowPunct/>
      <w:topLinePunct w:val="0"/>
      <w:bidi w:val="0"/>
      <w:adjustRightInd/>
      <w:snapToGrid/>
      <w:spacing w:before="0" w:after="0" w:line="240" w:lineRule="auto"/>
      <w:ind w:firstLine="480" w:firstLineChars="200"/>
      <w:jc w:val="center"/>
      <w:textAlignment w:val="auto"/>
      <w:outlineLvl w:val="9"/>
      <w:rPr>
        <w:rFonts w:hint="eastAsia"/>
        <w:sz w:val="24"/>
        <w:szCs w:val="22"/>
      </w:rPr>
    </w:pPr>
    <w:r>
      <w:rPr>
        <w:rFonts w:hint="eastAsia"/>
        <w:sz w:val="24"/>
        <w:szCs w:val="22"/>
      </w:rPr>
      <w:t>广东创新科技职业学院202</w:t>
    </w:r>
    <w:r>
      <w:rPr>
        <w:rFonts w:hint="eastAsia"/>
        <w:sz w:val="24"/>
        <w:szCs w:val="22"/>
        <w:lang w:val="en-US" w:eastAsia="zh-CN"/>
      </w:rPr>
      <w:t>6</w:t>
    </w:r>
    <w:r>
      <w:rPr>
        <w:rFonts w:hint="eastAsia"/>
        <w:sz w:val="24"/>
        <w:szCs w:val="22"/>
      </w:rPr>
      <w:t>届毕业设计（论文）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E435A"/>
    <w:multiLevelType w:val="singleLevel"/>
    <w:tmpl w:val="CB0E435A"/>
    <w:lvl w:ilvl="0" w:tentative="0">
      <w:start w:val="1"/>
      <w:numFmt w:val="decimal"/>
      <w:suff w:val="space"/>
      <w:lvlText w:val="[%1]"/>
      <w:lvlJc w:val="left"/>
      <w:pPr>
        <w:ind w:left="425" w:hanging="425"/>
      </w:pPr>
      <w:rPr>
        <w:rFonts w:hint="default" w:ascii="Times New Roman" w:hAnsi="Times New Roman" w:eastAsia="宋体" w:cs="仿宋_GB2312"/>
        <w:b w:val="0"/>
        <w:bCs w:val="0"/>
        <w:sz w:val="21"/>
        <w:szCs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261609"/>
    <w:rsid w:val="00247343"/>
    <w:rsid w:val="029702A0"/>
    <w:rsid w:val="046B5540"/>
    <w:rsid w:val="08F308B3"/>
    <w:rsid w:val="09612118"/>
    <w:rsid w:val="0C2B1A59"/>
    <w:rsid w:val="1001144E"/>
    <w:rsid w:val="127C643A"/>
    <w:rsid w:val="13E76BAD"/>
    <w:rsid w:val="16D52D6D"/>
    <w:rsid w:val="19856C4C"/>
    <w:rsid w:val="1BCF41AF"/>
    <w:rsid w:val="1FA20DCC"/>
    <w:rsid w:val="2AB31CCE"/>
    <w:rsid w:val="2E6E3CFB"/>
    <w:rsid w:val="2F8337D6"/>
    <w:rsid w:val="340842AA"/>
    <w:rsid w:val="3467430D"/>
    <w:rsid w:val="35452274"/>
    <w:rsid w:val="378B76CC"/>
    <w:rsid w:val="38991A5E"/>
    <w:rsid w:val="40C60ABA"/>
    <w:rsid w:val="42075BA1"/>
    <w:rsid w:val="423C70CB"/>
    <w:rsid w:val="451707F1"/>
    <w:rsid w:val="49975A5C"/>
    <w:rsid w:val="4A261609"/>
    <w:rsid w:val="4A895CED"/>
    <w:rsid w:val="4C196BFC"/>
    <w:rsid w:val="4D330192"/>
    <w:rsid w:val="4F2C12B4"/>
    <w:rsid w:val="549534E0"/>
    <w:rsid w:val="55004DFD"/>
    <w:rsid w:val="56220DA3"/>
    <w:rsid w:val="5B9825E8"/>
    <w:rsid w:val="5DD81B16"/>
    <w:rsid w:val="643F0D73"/>
    <w:rsid w:val="67654F94"/>
    <w:rsid w:val="694F1A58"/>
    <w:rsid w:val="6ECC3A6D"/>
    <w:rsid w:val="6EDC1FE0"/>
    <w:rsid w:val="708A15C7"/>
    <w:rsid w:val="716B16E7"/>
    <w:rsid w:val="73137F9A"/>
    <w:rsid w:val="75E82CD3"/>
    <w:rsid w:val="76984A3E"/>
    <w:rsid w:val="780954C8"/>
    <w:rsid w:val="78D14237"/>
    <w:rsid w:val="7D621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6"/>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link w:val="18"/>
    <w:unhideWhenUsed/>
    <w:qFormat/>
    <w:uiPriority w:val="0"/>
    <w:pPr>
      <w:spacing w:before="156" w:beforeLines="50" w:line="300" w:lineRule="auto"/>
      <w:outlineLvl w:val="2"/>
    </w:pPr>
    <w:rPr>
      <w:rFonts w:ascii="黑体" w:hAnsi="黑体" w:eastAsia="黑体" w:cstheme="majorBidi"/>
      <w:sz w:val="28"/>
      <w:szCs w:val="28"/>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360" w:lineRule="auto"/>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标题 2 Char"/>
    <w:basedOn w:val="14"/>
    <w:link w:val="4"/>
    <w:qFormat/>
    <w:uiPriority w:val="9"/>
    <w:rPr>
      <w:rFonts w:hint="eastAsia" w:ascii="宋体" w:hAnsi="宋体" w:eastAsia="宋体" w:cs="宋体"/>
      <w:b/>
      <w:bCs/>
      <w:kern w:val="0"/>
      <w:sz w:val="36"/>
      <w:szCs w:val="36"/>
      <w:lang w:val="en-US" w:eastAsia="zh-CN" w:bidi="ar"/>
    </w:rPr>
  </w:style>
  <w:style w:type="character" w:customStyle="1" w:styleId="17">
    <w:name w:val="标题 1 字符"/>
    <w:basedOn w:val="14"/>
    <w:link w:val="3"/>
    <w:qFormat/>
    <w:uiPriority w:val="9"/>
    <w:rPr>
      <w:b/>
      <w:bCs/>
      <w:kern w:val="44"/>
      <w:sz w:val="44"/>
      <w:szCs w:val="44"/>
    </w:rPr>
  </w:style>
  <w:style w:type="character" w:customStyle="1" w:styleId="18">
    <w:name w:val="标题 3 字符"/>
    <w:basedOn w:val="14"/>
    <w:link w:val="5"/>
    <w:qFormat/>
    <w:uiPriority w:val="9"/>
    <w:rPr>
      <w:rFonts w:ascii="黑体" w:hAnsi="黑体" w:eastAsia="黑体" w:cstheme="majorBidi"/>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5646</Words>
  <Characters>6092</Characters>
  <Lines>0</Lines>
  <Paragraphs>0</Paragraphs>
  <TotalTime>0</TotalTime>
  <ScaleCrop>false</ScaleCrop>
  <LinksUpToDate>false</LinksUpToDate>
  <CharactersWithSpaces>6235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2026-01-18T13:57:00Z</dcterms:created>
  <dc:creator>柚子</dc:creator>
  <cp:lastModifiedBy>Administrator</cp:lastModifiedBy>
  <dcterms:modified xsi:type="dcterms:W3CDTF">2026-06-01T03:45:17Z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CF6EDFC74F7D4BE39E058DEB2B76F0A3_13</vt:lpwstr>
  </property>
  <property fmtid="{D5CDD505-2E9C-101B-9397-08002B2CF9AE}" pid="4" name="KSOTemplateDocerSaveRecord">
    <vt:lpwstr>eyJoZGlkIjoiZDZkYjRhYjA5YTg2ZmU2YTM2ZmZkZjJmMzQ3MjRmYjcifQ==</vt:lpwstr>
  </property>
</Properties>
</file>