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A2B14">
      <w:pPr>
        <w:ind w:firstLine="480"/>
        <w:jc w:val="center"/>
        <w:textAlignment w:val="baseline"/>
        <w:rPr>
          <w:rFonts w:eastAsia="宋体" w:cs="宋体"/>
          <w:sz w:val="21"/>
        </w:rPr>
      </w:pPr>
      <w:bookmarkStart w:id="0" w:name="_Hlk120520287"/>
      <w:bookmarkEnd w:id="0"/>
      <w:bookmarkStart w:id="1" w:name="_Toc12094"/>
      <w:r>
        <w:rPr>
          <w:rFonts w:ascii="宋体" w:hAnsi="宋体" w:eastAsia="宋体" w:cs="宋体"/>
          <w:szCs w:val="24"/>
        </w:rPr>
        <w:drawing>
          <wp:inline distT="0" distB="0" distL="114300" distR="114300">
            <wp:extent cx="5074920" cy="911860"/>
            <wp:effectExtent l="0" t="0" r="11430" b="254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91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1"/>
        </w:rPr>
        <w:t xml:space="preserve"> </w:t>
      </w:r>
    </w:p>
    <w:p w14:paraId="171366B9">
      <w:pPr>
        <w:ind w:firstLine="964" w:firstLineChars="100"/>
        <w:jc w:val="center"/>
        <w:textAlignment w:val="baseline"/>
        <w:rPr>
          <w:rFonts w:hint="eastAsia" w:ascii="黑体" w:hAnsi="黑体" w:eastAsia="黑体" w:cs="黑体"/>
          <w:b/>
          <w:bCs/>
          <w:sz w:val="96"/>
          <w:szCs w:val="96"/>
        </w:rPr>
      </w:pPr>
    </w:p>
    <w:p w14:paraId="5E58937C">
      <w:pPr>
        <w:ind w:firstLine="964" w:firstLineChars="100"/>
        <w:jc w:val="center"/>
        <w:textAlignment w:val="baseline"/>
        <w:rPr>
          <w:rFonts w:hint="eastAsia" w:ascii="黑体" w:hAnsi="黑体" w:eastAsia="黑体" w:cs="黑体"/>
          <w:b/>
          <w:bCs/>
          <w:sz w:val="96"/>
          <w:szCs w:val="96"/>
        </w:rPr>
      </w:pPr>
      <w:r>
        <w:rPr>
          <w:rFonts w:hint="eastAsia" w:ascii="黑体" w:hAnsi="黑体" w:eastAsia="黑体" w:cs="黑体"/>
          <w:b/>
          <w:bCs/>
          <w:sz w:val="96"/>
          <w:szCs w:val="96"/>
        </w:rPr>
        <w:t>毕业设计(论文)</w:t>
      </w:r>
    </w:p>
    <w:p w14:paraId="071ED271">
      <w:pPr>
        <w:ind w:firstLine="803" w:firstLineChars="200"/>
        <w:textAlignment w:val="baseline"/>
        <w:rPr>
          <w:rFonts w:hint="eastAsia" w:ascii="黑体" w:hAnsi="黑体" w:eastAsia="黑体" w:cs="黑体"/>
          <w:b/>
          <w:bCs/>
          <w:sz w:val="40"/>
          <w:szCs w:val="40"/>
        </w:rPr>
      </w:pPr>
    </w:p>
    <w:tbl>
      <w:tblPr>
        <w:tblStyle w:val="13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0"/>
        <w:gridCol w:w="5792"/>
      </w:tblGrid>
      <w:tr w14:paraId="71C68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3338F726">
            <w:pPr>
              <w:tabs>
                <w:tab w:val="right" w:pos="2552"/>
                <w:tab w:val="left" w:pos="8222"/>
              </w:tabs>
              <w:spacing w:line="800" w:lineRule="exact"/>
              <w:jc w:val="center"/>
              <w:textAlignment w:val="baseline"/>
              <w:rPr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题   </w:t>
            </w:r>
            <w:r>
              <w:rPr>
                <w:spacing w:val="20"/>
                <w:sz w:val="36"/>
                <w:szCs w:val="36"/>
              </w:rPr>
              <w:t xml:space="preserve"> 目</w:t>
            </w:r>
          </w:p>
        </w:tc>
        <w:tc>
          <w:tcPr>
            <w:tcW w:w="6627" w:type="dxa"/>
            <w:tcBorders>
              <w:bottom w:val="single" w:color="auto" w:sz="4" w:space="0"/>
            </w:tcBorders>
          </w:tcPr>
          <w:p w14:paraId="4BF0D920">
            <w:pPr>
              <w:tabs>
                <w:tab w:val="right" w:pos="2552"/>
                <w:tab w:val="left" w:pos="8222"/>
              </w:tabs>
              <w:spacing w:line="800" w:lineRule="exact"/>
              <w:textAlignment w:val="baseline"/>
              <w:rPr>
                <w:spacing w:val="20"/>
                <w:sz w:val="36"/>
                <w:szCs w:val="36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跨境电商平台的商业模式研究</w:t>
            </w:r>
          </w:p>
        </w:tc>
      </w:tr>
      <w:tr w14:paraId="3AFB0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3AF0C1F6">
            <w:pPr>
              <w:spacing w:line="800" w:lineRule="exact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学院名称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6985542C">
            <w:pPr>
              <w:spacing w:line="800" w:lineRule="exact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经济管理学院</w:t>
            </w:r>
          </w:p>
        </w:tc>
      </w:tr>
      <w:tr w14:paraId="47FFE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53751D01">
            <w:pPr>
              <w:spacing w:line="800" w:lineRule="exact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专    业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4B7E5140">
            <w:pPr>
              <w:spacing w:line="800" w:lineRule="exact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跨境电子商务</w:t>
            </w:r>
          </w:p>
        </w:tc>
      </w:tr>
      <w:tr w14:paraId="17CF8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1D492121">
            <w:pPr>
              <w:spacing w:line="800" w:lineRule="exact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班    级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3FF79302">
            <w:pPr>
              <w:spacing w:line="800" w:lineRule="exact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23跨境电商1班</w:t>
            </w:r>
          </w:p>
        </w:tc>
      </w:tr>
      <w:tr w14:paraId="6CC9A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4C5F92C7">
            <w:pPr>
              <w:spacing w:line="800" w:lineRule="exact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姓    名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0FB34E25">
            <w:pPr>
              <w:spacing w:line="800" w:lineRule="exact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谢镒星</w:t>
            </w:r>
          </w:p>
        </w:tc>
      </w:tr>
      <w:tr w14:paraId="62A30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5F1C34CF">
            <w:pPr>
              <w:spacing w:line="800" w:lineRule="exact"/>
              <w:jc w:val="center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学    号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0E11F9A6">
            <w:pPr>
              <w:spacing w:line="800" w:lineRule="exact"/>
              <w:textAlignment w:val="baseline"/>
              <w:rPr>
                <w:rFonts w:eastAsia="宋体"/>
                <w:spacing w:val="20"/>
                <w:sz w:val="36"/>
                <w:szCs w:val="36"/>
              </w:rPr>
            </w:pPr>
            <w:r>
              <w:rPr>
                <w:rFonts w:hint="eastAsia" w:eastAsia="宋体"/>
                <w:spacing w:val="20"/>
                <w:sz w:val="36"/>
                <w:szCs w:val="36"/>
              </w:rPr>
              <w:t xml:space="preserve"> </w:t>
            </w:r>
            <w:r>
              <w:rPr>
                <w:spacing w:val="20"/>
                <w:sz w:val="36"/>
                <w:u w:color="auto"/>
              </w:rPr>
              <w:t>2305160132</w:t>
            </w:r>
          </w:p>
        </w:tc>
      </w:tr>
      <w:tr w14:paraId="08EFA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27" w:type="dxa"/>
          </w:tcPr>
          <w:p w14:paraId="211FC5D5">
            <w:pPr>
              <w:spacing w:line="800" w:lineRule="exact"/>
              <w:jc w:val="center"/>
              <w:textAlignment w:val="baseline"/>
              <w:rPr>
                <w:rFonts w:eastAsia="黑体"/>
                <w:spacing w:val="20"/>
                <w:sz w:val="36"/>
                <w:szCs w:val="36"/>
                <w:u w:val="single"/>
              </w:rPr>
            </w:pPr>
            <w:r>
              <w:rPr>
                <w:rFonts w:hint="eastAsia"/>
                <w:spacing w:val="20"/>
                <w:sz w:val="36"/>
                <w:szCs w:val="36"/>
              </w:rPr>
              <w:t xml:space="preserve"> 指导教师</w:t>
            </w:r>
          </w:p>
        </w:tc>
        <w:tc>
          <w:tcPr>
            <w:tcW w:w="6627" w:type="dxa"/>
            <w:tcBorders>
              <w:top w:val="single" w:color="auto" w:sz="4" w:space="0"/>
              <w:bottom w:val="single" w:color="auto" w:sz="4" w:space="0"/>
            </w:tcBorders>
          </w:tcPr>
          <w:p w14:paraId="22DCBA9B">
            <w:pPr>
              <w:spacing w:line="800" w:lineRule="exact"/>
              <w:textAlignment w:val="baseline"/>
              <w:rPr>
                <w:rFonts w:eastAsia="黑体"/>
                <w:spacing w:val="20"/>
                <w:sz w:val="36"/>
                <w:szCs w:val="36"/>
              </w:rPr>
            </w:pPr>
            <w:r>
              <w:rPr>
                <w:rFonts w:hint="eastAsia" w:eastAsia="黑体"/>
                <w:spacing w:val="20"/>
                <w:sz w:val="36"/>
                <w:szCs w:val="36"/>
              </w:rPr>
              <w:t xml:space="preserve"> </w:t>
            </w:r>
            <w:r>
              <w:rPr>
                <w:rFonts w:hint="eastAsia" w:eastAsia="宋体"/>
                <w:spacing w:val="20"/>
                <w:sz w:val="36"/>
                <w:szCs w:val="36"/>
              </w:rPr>
              <w:t>吕基荣</w:t>
            </w:r>
          </w:p>
        </w:tc>
      </w:tr>
    </w:tbl>
    <w:p w14:paraId="2BADCEA6">
      <w:pPr>
        <w:spacing w:line="800" w:lineRule="exact"/>
        <w:textAlignment w:val="baseline"/>
        <w:rPr>
          <w:spacing w:val="20"/>
          <w:sz w:val="36"/>
          <w:szCs w:val="36"/>
        </w:rPr>
      </w:pPr>
    </w:p>
    <w:p w14:paraId="45DD7FA9">
      <w:pPr>
        <w:spacing w:line="800" w:lineRule="exact"/>
        <w:ind w:firstLine="4400" w:firstLineChars="1100"/>
        <w:jc w:val="left"/>
        <w:textAlignment w:val="baseline"/>
        <w:rPr>
          <w:spacing w:val="20"/>
          <w:sz w:val="36"/>
          <w:szCs w:val="36"/>
        </w:rPr>
      </w:pPr>
      <w:r>
        <w:rPr>
          <w:rFonts w:hint="eastAsia"/>
          <w:spacing w:val="20"/>
          <w:sz w:val="36"/>
          <w:szCs w:val="36"/>
        </w:rPr>
        <w:t>2026年5月19日</w:t>
      </w:r>
    </w:p>
    <w:p w14:paraId="5D774990">
      <w:pPr>
        <w:spacing w:line="800" w:lineRule="exact"/>
        <w:ind w:firstLine="800"/>
        <w:jc w:val="center"/>
        <w:textAlignment w:val="baseline"/>
        <w:rPr>
          <w:spacing w:val="20"/>
          <w:sz w:val="36"/>
          <w:szCs w:val="36"/>
        </w:rPr>
      </w:pPr>
      <w:r>
        <w:rPr>
          <w:rFonts w:hint="eastAsia"/>
          <w:spacing w:val="20"/>
          <w:sz w:val="36"/>
          <w:szCs w:val="36"/>
        </w:rPr>
        <w:t>教务处</w:t>
      </w:r>
    </w:p>
    <w:p w14:paraId="464A47C3">
      <w:pPr>
        <w:bidi w:val="0"/>
        <w:jc w:val="center"/>
        <w:rPr>
          <w:rFonts w:hint="eastAsia" w:ascii="黑体" w:hAnsi="黑体" w:eastAsia="黑体" w:cs="黑体"/>
          <w:sz w:val="32"/>
          <w:szCs w:val="28"/>
        </w:rPr>
      </w:pPr>
      <w:bookmarkStart w:id="24" w:name="_GoBack"/>
      <w:bookmarkEnd w:id="24"/>
      <w:r>
        <w:rPr>
          <w:rFonts w:hint="eastAsia" w:ascii="黑体" w:hAnsi="黑体" w:eastAsia="黑体" w:cs="黑体"/>
          <w:sz w:val="32"/>
          <w:szCs w:val="28"/>
        </w:rPr>
        <w:t>摘要</w:t>
      </w:r>
      <w:bookmarkEnd w:id="1"/>
    </w:p>
    <w:p w14:paraId="292FA9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46496E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全球数字贸易不断扩张、跨境电商行业运营模式持续进行迭代的背景状况下，全托管模式已然成为中国电商品牌拓展海外市场的主流之选。Temu身为拼多多旗下面向全球的跨境电商平台，自2022年上线以来，依靠极致低价策略、成熟的柔性供应链模式、全域流量运营方式，迅速进入美国、欧洲、大洋洲等全球主要消费市场，成为近些年来跨境电商领域增长速度最快的跨境电商平台之一。本文运用案例分析法、数据分析法、对比研究法和文献研究法，针对Temu商业模式的核心构成、运行逻辑、核心竞争优势、发展困境展开系统性研究。研究显示，Temu将“低价普惠、海量供给、高效履约”当作核心价值主张，依靠中国完备的制造业供应链、由算法驱动的选品与定价机制、全托管强管控模式，达成了用户规模和市场份额的迅速提高，然而也面临着盈利结构单一、跨境物流成本较高、海外合规风险显著、商品品控不稳定、品牌化发展滞后等限制长期发展的问题。鉴于此，本文从优化盈利结构、建立智能化物流模式、建立全球化合规管理模式、完善全流程品控与售后服务机制、推动平台品牌化升级这五个方面给出具体可行的优化途径，期望能为Temu商业模式升级给予参考，也为中国的全托管跨境电商平台实现高质量、可持续、合规化出海提供理论支持与实践借鉴。</w:t>
      </w:r>
    </w:p>
    <w:p w14:paraId="14F09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57647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宋体" w:hAnsi="宋体" w:eastAsia="宋体" w:cs="宋体"/>
        </w:rPr>
      </w:pPr>
      <w:r>
        <w:rPr>
          <w:rFonts w:hint="eastAsia" w:ascii="黑体" w:hAnsi="黑体" w:eastAsia="黑体" w:cs="黑体"/>
          <w:lang w:val="en-US" w:eastAsia="zh-CN"/>
        </w:rPr>
        <w:t>关键词：</w:t>
      </w:r>
      <w:r>
        <w:rPr>
          <w:rFonts w:hint="eastAsia" w:ascii="宋体" w:hAnsi="宋体" w:eastAsia="宋体" w:cs="宋体"/>
          <w:lang w:val="en-US" w:eastAsia="zh-CN"/>
        </w:rPr>
        <w:t>跨境电商；Temu；商业模式；全托管；供应链；合规经营；品牌出海</w:t>
      </w:r>
    </w:p>
    <w:p w14:paraId="56F5D4E0">
      <w:pPr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sdt>
      <w:sdtPr>
        <w:rPr>
          <w:lang w:val="en-US" w:eastAsia="zh-CN"/>
        </w:rPr>
        <w:id w:val="147466455"/>
        <w15:color w:val="DBDBDB"/>
        <w:docPartObj>
          <w:docPartGallery w:val="Table of Contents"/>
          <w:docPartUnique/>
        </w:docPartObj>
      </w:sdtPr>
      <w:sdtEndPr>
        <w:rPr>
          <w:rFonts w:hint="eastAsia" w:ascii="宋体" w:hAnsi="宋体" w:eastAsia="宋体" w:cs="宋体"/>
          <w:b/>
          <w:bCs/>
          <w:color w:val="000000"/>
          <w:kern w:val="44"/>
          <w:sz w:val="48"/>
          <w:szCs w:val="24"/>
          <w:lang w:val="en-US" w:eastAsia="zh-CN" w:bidi="ar"/>
        </w:rPr>
      </w:sdtEndPr>
      <w:sdtContent>
        <w:p w14:paraId="230C6F00">
          <w:pPr>
            <w:pStyle w:val="3"/>
            <w:bidi w:val="0"/>
            <w:jc w:val="center"/>
            <w:rPr>
              <w:rFonts w:hint="eastAsia" w:ascii="黑体" w:hAnsi="黑体" w:eastAsia="黑体" w:cs="黑体"/>
              <w:sz w:val="32"/>
              <w:szCs w:val="32"/>
            </w:rPr>
          </w:pPr>
          <w:r>
            <w:rPr>
              <w:rFonts w:hint="eastAsia" w:ascii="黑体" w:hAnsi="黑体" w:eastAsia="黑体" w:cs="黑体"/>
              <w:sz w:val="32"/>
              <w:szCs w:val="32"/>
            </w:rPr>
            <w:t>目</w:t>
          </w:r>
          <w:r>
            <w:rPr>
              <w:rFonts w:hint="eastAsia" w:ascii="黑体" w:hAnsi="黑体" w:eastAsia="黑体" w:cs="黑体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黑体" w:hAnsi="黑体" w:eastAsia="黑体" w:cs="黑体"/>
              <w:sz w:val="32"/>
              <w:szCs w:val="32"/>
            </w:rPr>
            <w:t>录</w:t>
          </w:r>
        </w:p>
        <w:p w14:paraId="7163C13B">
          <w:pPr>
            <w:pStyle w:val="10"/>
            <w:tabs>
              <w:tab w:val="right" w:leader="dot" w:pos="8306"/>
            </w:tabs>
          </w:pPr>
          <w:r>
            <w:rPr>
              <w:color w:val="000000"/>
              <w:sz w:val="24"/>
              <w:szCs w:val="24"/>
            </w:rPr>
            <w:fldChar w:fldCharType="begin"/>
          </w:r>
          <w:r>
            <w:rPr>
              <w:color w:val="000000"/>
              <w:sz w:val="24"/>
              <w:szCs w:val="24"/>
            </w:rPr>
            <w:instrText xml:space="preserve">TOC \o "1-9" \h \u </w:instrText>
          </w:r>
          <w:r>
            <w:rPr>
              <w:color w:val="000000"/>
              <w:sz w:val="24"/>
              <w:szCs w:val="24"/>
            </w:rPr>
            <w:fldChar w:fldCharType="separate"/>
          </w:r>
        </w:p>
        <w:p w14:paraId="3308CF8E">
          <w:pPr>
            <w:pStyle w:val="9"/>
            <w:tabs>
              <w:tab w:val="right" w:leader="dot" w:pos="8306"/>
            </w:tabs>
          </w:pPr>
          <w:r>
            <w:rPr>
              <w:color w:val="000000"/>
              <w:szCs w:val="24"/>
            </w:rPr>
            <w:fldChar w:fldCharType="begin"/>
          </w:r>
          <w:r>
            <w:rPr>
              <w:szCs w:val="24"/>
            </w:rPr>
            <w:instrText xml:space="preserve"> HYPERLINK \l _Toc10170 </w:instrText>
          </w:r>
          <w:r>
            <w:rPr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第一章概述</w:t>
          </w:r>
          <w:r>
            <w:rPr>
              <w:rFonts w:hint="eastAsia" w:ascii="宋体" w:hAnsi="宋体" w:eastAsia="宋体" w:cs="宋体"/>
              <w:sz w:val="30"/>
              <w:szCs w:val="30"/>
            </w:rPr>
            <w:tab/>
          </w:r>
          <w:r>
            <w:rPr>
              <w:rFonts w:hint="eastAsia" w:eastAsia="宋体"/>
              <w:lang w:val="en-US" w:eastAsia="zh-CN"/>
            </w:rPr>
            <w:t>1</w:t>
          </w:r>
          <w:r>
            <w:rPr>
              <w:color w:val="000000"/>
              <w:szCs w:val="24"/>
            </w:rPr>
            <w:fldChar w:fldCharType="end"/>
          </w:r>
        </w:p>
        <w:p w14:paraId="02B13F84">
          <w:pPr>
            <w:pStyle w:val="10"/>
            <w:tabs>
              <w:tab w:val="right" w:leader="dot" w:pos="8306"/>
            </w:tabs>
          </w:pPr>
          <w:r>
            <w:rPr>
              <w:color w:val="000000"/>
              <w:szCs w:val="24"/>
            </w:rPr>
            <w:fldChar w:fldCharType="begin"/>
          </w:r>
          <w:r>
            <w:rPr>
              <w:szCs w:val="24"/>
            </w:rPr>
            <w:instrText xml:space="preserve"> HYPERLINK \l _Toc12254 </w:instrText>
          </w:r>
          <w:r>
            <w:rPr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1.1研究背景及意义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eastAsia="宋体"/>
              <w:lang w:val="en-US" w:eastAsia="zh-CN"/>
            </w:rPr>
            <w:t>1</w:t>
          </w:r>
          <w:r>
            <w:rPr>
              <w:color w:val="000000"/>
              <w:szCs w:val="24"/>
            </w:rPr>
            <w:fldChar w:fldCharType="end"/>
          </w:r>
        </w:p>
        <w:p w14:paraId="043C36EA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_Toc2900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1.2研究目的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1</w:t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21720DC7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_Toc832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1.3研究内容与研究方法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1</w:t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0F840B85">
          <w:pPr>
            <w:pStyle w:val="9"/>
            <w:tabs>
              <w:tab w:val="right" w:leader="dot" w:pos="8306"/>
            </w:tabs>
          </w:pPr>
          <w:r>
            <w:rPr>
              <w:color w:val="000000"/>
              <w:szCs w:val="24"/>
            </w:rPr>
            <w:fldChar w:fldCharType="begin"/>
          </w:r>
          <w:r>
            <w:rPr>
              <w:szCs w:val="24"/>
            </w:rPr>
            <w:instrText xml:space="preserve"> HYPERLINK \l _Toc2753 </w:instrText>
          </w:r>
          <w:r>
            <w:rPr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第二章Temu平台发展概况与商业模式环境分析</w:t>
          </w:r>
          <w:r>
            <w:rPr>
              <w:rFonts w:hint="eastAsia" w:ascii="宋体" w:hAnsi="宋体" w:eastAsia="宋体" w:cs="宋体"/>
              <w:sz w:val="30"/>
              <w:szCs w:val="30"/>
            </w:rPr>
            <w:tab/>
          </w:r>
          <w:r>
            <w:rPr>
              <w:rFonts w:hint="eastAsia" w:eastAsia="宋体"/>
              <w:lang w:val="en-US" w:eastAsia="zh-CN"/>
            </w:rPr>
            <w:t>3</w:t>
          </w:r>
          <w:r>
            <w:rPr>
              <w:color w:val="000000"/>
              <w:szCs w:val="24"/>
            </w:rPr>
            <w:fldChar w:fldCharType="end"/>
          </w:r>
        </w:p>
        <w:p w14:paraId="0816997D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_Toc15323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2.1Temu公司简介与发展历程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3</w:t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0FC66B40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_Toc20843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2.2全球跨境电商行业发展现状与趋势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  <w:lang w:val="en-US" w:eastAsia="zh-CN"/>
            </w:rPr>
            <w:t>3</w:t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00B9F5B9">
          <w:pPr>
            <w:pStyle w:val="9"/>
            <w:tabs>
              <w:tab w:val="right" w:leader="dot" w:pos="8306"/>
            </w:tabs>
          </w:pPr>
          <w:r>
            <w:rPr>
              <w:color w:val="000000"/>
              <w:szCs w:val="24"/>
            </w:rPr>
            <w:fldChar w:fldCharType="begin"/>
          </w:r>
          <w:r>
            <w:rPr>
              <w:szCs w:val="24"/>
            </w:rPr>
            <w:instrText xml:space="preserve"> HYPERLINK \l _Toc22296 </w:instrText>
          </w:r>
          <w:r>
            <w:rPr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第三章Temu商业模式存在的问题与挑战</w:t>
          </w:r>
          <w:r>
            <w:rPr>
              <w:rFonts w:hint="eastAsia" w:ascii="宋体" w:hAnsi="宋体" w:eastAsia="宋体" w:cs="宋体"/>
              <w:sz w:val="30"/>
              <w:szCs w:val="30"/>
            </w:rPr>
            <w:tab/>
          </w:r>
          <w:r>
            <w:fldChar w:fldCharType="begin"/>
          </w:r>
          <w:r>
            <w:instrText xml:space="preserve"> PAGEREF _Toc22296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color w:val="000000"/>
              <w:szCs w:val="24"/>
            </w:rPr>
            <w:fldChar w:fldCharType="end"/>
          </w:r>
        </w:p>
        <w:p w14:paraId="3EABE448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_Toc28711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3.1盈利模式薄弱，长期亏损压力显著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_Toc28711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5223759D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_Toc28452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3.2跨境物流成本高，履约效率稳定性不足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_Toc28452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1080428E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_Toc31326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3.3海外合规风险突出，政策适应能力较弱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_Toc31326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5E7C1552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_Toc19467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3.4品控体系不完善，用户信任度有待提升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_Toc19467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6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416D8B05">
          <w:pPr>
            <w:pStyle w:val="9"/>
            <w:tabs>
              <w:tab w:val="right" w:leader="dot" w:pos="8306"/>
            </w:tabs>
          </w:pPr>
          <w:r>
            <w:rPr>
              <w:color w:val="000000"/>
              <w:szCs w:val="24"/>
            </w:rPr>
            <w:fldChar w:fldCharType="begin"/>
          </w:r>
          <w:r>
            <w:rPr>
              <w:szCs w:val="24"/>
            </w:rPr>
            <w:instrText xml:space="preserve"> HYPERLINK \l _Toc22226 </w:instrText>
          </w:r>
          <w:r>
            <w:rPr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第四章Temu商业模式优化路径探讨</w:t>
          </w:r>
          <w:r>
            <w:rPr>
              <w:rFonts w:hint="eastAsia" w:ascii="宋体" w:hAnsi="宋体" w:eastAsia="宋体" w:cs="宋体"/>
              <w:sz w:val="30"/>
              <w:szCs w:val="30"/>
            </w:rPr>
            <w:tab/>
          </w:r>
          <w:r>
            <w:fldChar w:fldCharType="begin"/>
          </w:r>
          <w:r>
            <w:instrText xml:space="preserve"> PAGEREF _Toc22226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color w:val="000000"/>
              <w:szCs w:val="24"/>
            </w:rPr>
            <w:fldChar w:fldCharType="end"/>
          </w:r>
        </w:p>
        <w:p w14:paraId="270B874F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_Toc11388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4.1优化盈利结构，提升平台可持续经营能力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_Toc11388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66E58C03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_Toc18047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4.2构建智能化跨境物流体系，降低履约综合成本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_Toc18047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7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44263FAF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_Toc4770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4.3建立全球化合规管理系统，强化政策风险防控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_Toc4770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8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3D740C2D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_Toc24100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4.4完善全流程品控与售后机制，提升用户体验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_Toc24100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8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48E20241">
          <w:pPr>
            <w:pStyle w:val="9"/>
            <w:tabs>
              <w:tab w:val="right" w:leader="dot" w:pos="8306"/>
            </w:tabs>
          </w:pPr>
          <w:r>
            <w:rPr>
              <w:color w:val="000000"/>
              <w:szCs w:val="24"/>
            </w:rPr>
            <w:fldChar w:fldCharType="begin"/>
          </w:r>
          <w:r>
            <w:rPr>
              <w:szCs w:val="24"/>
            </w:rPr>
            <w:instrText xml:space="preserve"> HYPERLINK \l _Toc3171 </w:instrText>
          </w:r>
          <w:r>
            <w:rPr>
              <w:szCs w:val="24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第五章研究结论与展望</w:t>
          </w:r>
          <w:r>
            <w:rPr>
              <w:rFonts w:hint="eastAsia" w:ascii="宋体" w:hAnsi="宋体" w:eastAsia="宋体" w:cs="宋体"/>
              <w:sz w:val="30"/>
              <w:szCs w:val="30"/>
            </w:rPr>
            <w:tab/>
          </w:r>
          <w:r>
            <w:fldChar w:fldCharType="begin"/>
          </w:r>
          <w:r>
            <w:instrText xml:space="preserve"> PAGEREF _Toc3171 \h </w:instrText>
          </w:r>
          <w:r>
            <w:fldChar w:fldCharType="separate"/>
          </w:r>
          <w:r>
            <w:t>9</w:t>
          </w:r>
          <w:r>
            <w:fldChar w:fldCharType="end"/>
          </w:r>
          <w:r>
            <w:rPr>
              <w:color w:val="000000"/>
              <w:szCs w:val="24"/>
            </w:rPr>
            <w:fldChar w:fldCharType="end"/>
          </w:r>
        </w:p>
        <w:p w14:paraId="5A22FFD0">
          <w:pPr>
            <w:pStyle w:val="10"/>
            <w:tabs>
              <w:tab w:val="right" w:leader="dot" w:pos="8306"/>
            </w:tabs>
            <w:rPr>
              <w:rFonts w:hint="eastAsia" w:ascii="宋体" w:hAnsi="宋体" w:eastAsia="宋体" w:cs="宋体"/>
              <w:sz w:val="28"/>
              <w:szCs w:val="28"/>
            </w:rPr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_Toc27099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5.1研究结论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_Toc27099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9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0B6092BE">
          <w:pPr>
            <w:pStyle w:val="10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HYPERLINK \l _Toc12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5.2研究不足与未来展望</w:t>
          </w:r>
          <w:r>
            <w:rPr>
              <w:rFonts w:hint="eastAsia" w:ascii="宋体" w:hAnsi="宋体" w:eastAsia="宋体" w:cs="宋体"/>
              <w:sz w:val="28"/>
              <w:szCs w:val="28"/>
            </w:rPr>
            <w:tab/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begin"/>
          </w:r>
          <w:r>
            <w:rPr>
              <w:rFonts w:hint="eastAsia" w:ascii="宋体" w:hAnsi="宋体" w:eastAsia="宋体" w:cs="宋体"/>
              <w:sz w:val="28"/>
              <w:szCs w:val="28"/>
            </w:rPr>
            <w:instrText xml:space="preserve"> PAGEREF _Toc12 \h </w:instrTex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separate"/>
          </w:r>
          <w:r>
            <w:rPr>
              <w:rFonts w:hint="eastAsia" w:ascii="宋体" w:hAnsi="宋体" w:eastAsia="宋体" w:cs="宋体"/>
              <w:sz w:val="28"/>
              <w:szCs w:val="28"/>
            </w:rPr>
            <w:t>9</w:t>
          </w:r>
          <w:r>
            <w:rPr>
              <w:rFonts w:hint="eastAsia" w:ascii="宋体" w:hAnsi="宋体" w:eastAsia="宋体" w:cs="宋体"/>
              <w:sz w:val="28"/>
              <w:szCs w:val="28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28"/>
              <w:szCs w:val="28"/>
            </w:rPr>
            <w:fldChar w:fldCharType="end"/>
          </w:r>
        </w:p>
        <w:p w14:paraId="272586B2">
          <w:pPr>
            <w:pStyle w:val="9"/>
            <w:tabs>
              <w:tab w:val="right" w:leader="dot" w:pos="8306"/>
            </w:tabs>
            <w:rPr>
              <w:rFonts w:hint="eastAsia" w:ascii="宋体" w:hAnsi="宋体" w:eastAsia="宋体" w:cs="宋体"/>
              <w:sz w:val="30"/>
              <w:szCs w:val="30"/>
            </w:rPr>
          </w:pPr>
          <w:r>
            <w:rPr>
              <w:rFonts w:hint="eastAsia" w:ascii="宋体" w:hAnsi="宋体" w:eastAsia="宋体" w:cs="宋体"/>
              <w:color w:val="00000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sz w:val="30"/>
              <w:szCs w:val="30"/>
            </w:rPr>
            <w:instrText xml:space="preserve"> HYPERLINK \l _Toc27992 </w:instrText>
          </w:r>
          <w:r>
            <w:rPr>
              <w:rFonts w:hint="eastAsia" w:ascii="宋体" w:hAnsi="宋体" w:eastAsia="宋体" w:cs="宋体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参考文献</w:t>
          </w:r>
          <w:r>
            <w:rPr>
              <w:rFonts w:hint="eastAsia" w:ascii="宋体" w:hAnsi="宋体" w:eastAsia="宋体" w:cs="宋体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sz w:val="30"/>
              <w:szCs w:val="30"/>
            </w:rPr>
            <w:instrText xml:space="preserve"> PAGEREF _Toc27992 \h </w:instrText>
          </w:r>
          <w:r>
            <w:rPr>
              <w:rFonts w:hint="eastAsia" w:ascii="宋体" w:hAnsi="宋体" w:eastAsia="宋体" w:cs="宋体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10</w:t>
          </w:r>
          <w:r>
            <w:rPr>
              <w:rFonts w:hint="eastAsia" w:ascii="宋体" w:hAnsi="宋体" w:eastAsia="宋体" w:cs="宋体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30"/>
              <w:szCs w:val="30"/>
            </w:rPr>
            <w:fldChar w:fldCharType="end"/>
          </w:r>
        </w:p>
        <w:p w14:paraId="77789779">
          <w:pPr>
            <w:pStyle w:val="5"/>
            <w:tabs>
              <w:tab w:val="right" w:leader="dot" w:pos="8306"/>
            </w:tabs>
          </w:pPr>
          <w:r>
            <w:rPr>
              <w:rFonts w:hint="eastAsia" w:ascii="宋体" w:hAnsi="宋体" w:eastAsia="宋体" w:cs="宋体"/>
              <w:color w:val="000000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sz w:val="30"/>
              <w:szCs w:val="30"/>
            </w:rPr>
            <w:instrText xml:space="preserve"> HYPERLINK \l _Toc8906 </w:instrText>
          </w:r>
          <w:r>
            <w:rPr>
              <w:rFonts w:hint="eastAsia" w:ascii="宋体" w:hAnsi="宋体" w:eastAsia="宋体" w:cs="宋体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致谢</w:t>
          </w:r>
          <w:r>
            <w:rPr>
              <w:rFonts w:hint="eastAsia" w:ascii="宋体" w:hAnsi="宋体" w:eastAsia="宋体" w:cs="宋体"/>
              <w:sz w:val="30"/>
              <w:szCs w:val="30"/>
            </w:rPr>
            <w:tab/>
          </w:r>
          <w:r>
            <w:rPr>
              <w:rFonts w:hint="eastAsia" w:ascii="宋体" w:hAnsi="宋体" w:eastAsia="宋体" w:cs="宋体"/>
              <w:sz w:val="30"/>
              <w:szCs w:val="30"/>
            </w:rPr>
            <w:fldChar w:fldCharType="begin"/>
          </w:r>
          <w:r>
            <w:rPr>
              <w:rFonts w:hint="eastAsia" w:ascii="宋体" w:hAnsi="宋体" w:eastAsia="宋体" w:cs="宋体"/>
              <w:sz w:val="30"/>
              <w:szCs w:val="30"/>
            </w:rPr>
            <w:instrText xml:space="preserve"> PAGEREF _Toc8906 \h </w:instrText>
          </w:r>
          <w:r>
            <w:rPr>
              <w:rFonts w:hint="eastAsia" w:ascii="宋体" w:hAnsi="宋体" w:eastAsia="宋体" w:cs="宋体"/>
              <w:sz w:val="30"/>
              <w:szCs w:val="30"/>
            </w:rPr>
            <w:fldChar w:fldCharType="separate"/>
          </w:r>
          <w:r>
            <w:rPr>
              <w:rFonts w:hint="eastAsia" w:ascii="宋体" w:hAnsi="宋体" w:eastAsia="宋体" w:cs="宋体"/>
              <w:sz w:val="30"/>
              <w:szCs w:val="30"/>
            </w:rPr>
            <w:t>11</w:t>
          </w:r>
          <w:r>
            <w:rPr>
              <w:rFonts w:hint="eastAsia" w:ascii="宋体" w:hAnsi="宋体" w:eastAsia="宋体" w:cs="宋体"/>
              <w:sz w:val="30"/>
              <w:szCs w:val="30"/>
            </w:rPr>
            <w:fldChar w:fldCharType="end"/>
          </w:r>
          <w:r>
            <w:rPr>
              <w:rFonts w:hint="eastAsia" w:ascii="宋体" w:hAnsi="宋体" w:eastAsia="宋体" w:cs="宋体"/>
              <w:color w:val="000000"/>
              <w:sz w:val="30"/>
              <w:szCs w:val="30"/>
            </w:rPr>
            <w:fldChar w:fldCharType="end"/>
          </w:r>
        </w:p>
        <w:p w14:paraId="7CEBAF66">
          <w:pPr>
            <w:pStyle w:val="2"/>
            <w:keepNext w:val="0"/>
            <w:keepLines w:val="0"/>
            <w:widowControl/>
            <w:suppressLineNumbers w:val="0"/>
            <w:pBdr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</w:pBdr>
            <w:spacing w:before="0" w:beforeAutospacing="0" w:after="0" w:afterAutospacing="0" w:line="240" w:lineRule="atLeast"/>
            <w:ind w:left="0" w:leftChars="0" w:right="0" w:rightChars="0"/>
            <w:outlineLvl w:val="9"/>
            <w:rPr>
              <w:rFonts w:hint="eastAsia" w:ascii="宋体" w:hAnsi="宋体" w:eastAsia="宋体" w:cs="宋体"/>
              <w:b/>
              <w:bCs/>
              <w:color w:val="000000"/>
              <w:kern w:val="44"/>
              <w:sz w:val="48"/>
              <w:szCs w:val="24"/>
              <w:lang w:val="en-US" w:eastAsia="zh-CN" w:bidi="ar"/>
            </w:rPr>
          </w:pPr>
          <w:r>
            <w:rPr>
              <w:color w:val="000000"/>
              <w:szCs w:val="24"/>
            </w:rPr>
            <w:fldChar w:fldCharType="end"/>
          </w:r>
        </w:p>
      </w:sdtContent>
    </w:sdt>
    <w:p w14:paraId="63B826D1"/>
    <w:p w14:paraId="2CA535C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center"/>
        <w:rPr>
          <w:rFonts w:hint="eastAsia" w:ascii="黑体" w:hAnsi="黑体" w:eastAsia="黑体" w:cs="黑体"/>
          <w:color w:val="000000"/>
          <w:sz w:val="30"/>
          <w:szCs w:val="30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2" w:name="_Toc10170"/>
    </w:p>
    <w:p w14:paraId="2AB4352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center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第一章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概述</w:t>
      </w:r>
      <w:bookmarkEnd w:id="2"/>
    </w:p>
    <w:p w14:paraId="5E93945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3" w:name="_Toc12254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1.1研究背景及意义</w:t>
      </w:r>
      <w:bookmarkEnd w:id="3"/>
    </w:p>
    <w:p w14:paraId="557BF1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bookmarkStart w:id="4" w:name="_Toc2900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近些年来，全球跨境电商行业呈现出持续高速发展的趋势。数字技术得到广泛普及，物流基础设施不断完善，线上消费习惯逐渐养成，并且国际贸易便利化政策也在持续推进，这些因素共同促使跨境贸易从传统的外贸模式朝着数字化、平台化、品牌化的方向进行转型。全球跨境电商交易规模稳步增长，年均增长率一直保持在较高水平，欧美成熟市场与东南亚、拉美等新兴市场同时实现扩容，为中国电商平台走向海外创造了广阔的市场空间。与此跨境电商运营模式不断进行革新，全托管模式依靠低门槛、高效率、强管控、服务标准化等优势迅速兴起，逐步取代传统铺货模式，成为跨境电商行业最具代表性的运营方式。在欧美等主要消费市场当中，消费者的消费行为越来越趋向于理性。他们对于高性价比、实用性商品的需求呈现出不断上升的趋势，价格敏感型消费群体也在持续不断地扩大。这样的情况为低价型跨境电商平台营造出了良好的发展环境。</w:t>
      </w:r>
    </w:p>
    <w:p w14:paraId="2C370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emu是拼多多旗下一个专注于全球市场的全托管跨境电商平台，它在2022年9月正式上线。依靠母公司成熟的供应链整合能力、大数据选品算法、极致成本控制经验、大规模流量投放策略，Temu快速进入美国、加拿大、英国、德国、法国、澳大利亚、日本等数十个国家和地区。上线之后多次在当地购物类应用下载榜上名列前茅，用户规模和订单量实现了爆发式增长。Temu的迅速崛起，改变了全球跨境电商的竞争格局，还为全托管模式在全球范围内落地提供了重要实践样本。在这种情况下，系统研究Temu的商业模式，分析其价值主张、核心业务、成本结构、盈利来源与运行机制，识别其高速扩张中存在的风险与不足，有着重要的理论意义与实践意义。在理论方面，本研究能够对全托管跨境电商商业模式的研究模式予以丰富。从实践角度来看，其研究结论可以为 Temu 优化商业模式、达成可持续发展提供一定参考，还可为中国其他跨境电商平台规避风险、实现合规经营、进行品牌升级给予可复制的经验，进而推动中国跨境电商行业由规模扩张朝着高质量发展转变。</w:t>
      </w:r>
    </w:p>
    <w:p w14:paraId="331AB17F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1.2研究目的</w:t>
      </w:r>
      <w:bookmarkEnd w:id="4"/>
    </w:p>
    <w:p w14:paraId="22F9D1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研究针对Temu跨境电商平台商业模式展开系统剖析，梳理Temu的发展历程、市场布局、行业定位，明确其在全球跨境电商领域的竞争地位，揭示全托管模式的运行逻辑及核心竞争力来源。结合行业数据与市场现状，分析Temu商业模式在盈利、物流、合规、品控、品牌等方面存在的突出问题，依据全球监管趋势、行业竞争格局与用户需求变化，提出Temu商业模式的优化路径与升级策略，总结Temu模式的经验与启示，为中国跨境电商平台全球化发展提供实践参考，助力更多中国电商品牌在全球化进程中降低试错成本，实现稳健且高效的出海发展。</w:t>
      </w:r>
    </w:p>
    <w:p w14:paraId="2CB71F9E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5" w:name="_Toc832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1.3研究内容与研究方法</w:t>
      </w:r>
      <w:bookmarkEnd w:id="5"/>
    </w:p>
    <w:p w14:paraId="1B2F5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bookmarkStart w:id="6" w:name="_Toc2753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文一共分为五章，各章内容之间衔接紧密且逻辑清晰。第一章是概述部分，主要阐述研究的背景、意义和目的，界定相关概念，介绍研究内容框架与方法模式。第二章围绕Temu平台发展概况、商业模式环境展开分析，讲述Temu的发展历程、市场布局、运营特点，剖析全球跨境电商行业的现状及发展趋势，以此为商业模式分析奠定现实基础。第三章聚焦于Temu商业模式存在的问题与挑战，从盈利水平、物流成本、合规管控、商品质量、品牌建设这五个维度，梳理平台在高速发展中面临的问题与潜在风险。第四章探讨Temu商业模式优化路径，针对第三章所提出的问题，结合行业规律和平台实际，给出具有可操作性的优化策略与改进方案。第五章是研究结论与展望部分，要对全文的研究成果予以总结，明确指出研究存在的不足之处，并且对未来相关领域的研究方向展开展望。在研究方法方面，本文综合采用案例研究法、数据分析法、对比研究法、文献研究法，把Temu当作核心案例来进行分析，结合行业报告、第三方数据进行量化研究，通过和亚马逊、SHEIN、TikTok Shop等平台进行对比来突出模式特征，梳理国内外相关文献从而奠定理论基础，以此保证研究具备科学性、客观性、实用性。</w:t>
      </w:r>
    </w:p>
    <w:p w14:paraId="378EDDBC">
      <w:pPr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/>
        </w:rPr>
        <w:br w:type="page"/>
      </w:r>
    </w:p>
    <w:p w14:paraId="7A84F77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宋体" w:cs="宋体"/>
          <w:sz w:val="24"/>
          <w:szCs w:val="24"/>
          <w:lang w:val="en-US"/>
        </w:rPr>
      </w:pPr>
    </w:p>
    <w:p w14:paraId="25ABEBED">
      <w:pPr>
        <w:jc w:val="center"/>
        <w:outlineLvl w:val="0"/>
        <w:rPr>
          <w:rFonts w:hint="eastAsia" w:ascii="黑体" w:hAnsi="黑体" w:eastAsia="黑体" w:cs="黑体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kern w:val="44"/>
          <w:sz w:val="30"/>
          <w:szCs w:val="30"/>
          <w:lang w:val="en-US" w:eastAsia="zh-CN" w:bidi="ar"/>
        </w:rPr>
        <w:t>第二章  Temu平台发展概况与商业模式环境分析</w:t>
      </w:r>
      <w:bookmarkEnd w:id="6"/>
    </w:p>
    <w:p w14:paraId="15F89CB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7" w:name="_Toc15323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2.1Temu公司简介与发展历程</w:t>
      </w:r>
      <w:bookmarkEnd w:id="7"/>
    </w:p>
    <w:p w14:paraId="4867B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bookmarkStart w:id="8" w:name="_Toc20843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emu是由拼多多推出的面向全球市场的B2C全托管跨境电商平台，它在2022年9月1日率先于美国上线。该平台主要以“全品类、极致低价、全球直邮”这样的消费体验为特色，把自身定位成服务全球普通消费者的高性价比购物平台。其商品包括家居日用、美妆护肤、3C数码、服饰鞋包、户外用品、宠物用品、汽车配件等数十个大类，SKU数量超过千万。</w:t>
      </w:r>
    </w:p>
    <w:p w14:paraId="16126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emu的发展历程能够被划分成三个阶段。第一个阶段是市场切入期，时间为2022年9月至2023年3月。在这个阶段，平台将美国市场当作核心的突破口，借助低价策略、在社交媒体进行大规模推广、给予高额补贴的方式，迅速获取了首批用户。在短时间内，它登上了美国购物App下载榜的榜首，达成了市场的初步验证。第二个阶段是全球扩张期，时间从2023年4月持续到2024年6月。此阶段中，平台快速进入加拿大、墨西哥、英国、德国、法国、意大利、西班牙、澳大利亚、新西兰、日本、韩国等市场，搭建起全球化站点网络，物流覆盖范围不断扩大，供应链模式进一步完善，用户规模突破了亿级。第三阶段是提质升级期，从2024年7月一直到如今，Temu逐渐把“规模优先”的策略转变为“规模与效益并重”，开始对品控进行优化、完善合规工作、提高物流效率、探索盈利模式，减少不合理的补贴，促使平台朝着可持续的方向转型。依靠拼多多强大的供应链基础、算法技术，Temu已然成为全球增长速度最快的跨境电商平台之一，在低价跨境电商领域占据着领先的地位，对全球跨境电商行业的格局产生了深远的影响。</w:t>
      </w:r>
    </w:p>
    <w:p w14:paraId="403E10E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2.2全球跨境电商行业发展现状与趋势</w:t>
      </w:r>
      <w:bookmarkEnd w:id="8"/>
    </w:p>
    <w:p w14:paraId="4D400E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下全球跨境电商市场展现出稳步增长、结构优化、模式创新的总体特性。欧美成熟市场的电商渗透率颇高，消费能力也比较强，乃是跨境电商的核心市场，拉美、东南亚、中东等新兴市场人口基数庞大，互联网普及速度较快，增长潜力显著。中国依靠完善的制造业模式、高效的供应链响应能力、成熟的电商运营经验，已然成为全球跨境电商出口最为重要的供给方。</w:t>
      </w:r>
    </w:p>
    <w:p w14:paraId="053BA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在平台格局这一领域当中，亚马逊依旧保持着全球龙头的显著地位，它凭借品质、物流、服务建立起竞争壁垒。SHEIN依靠快时尚、小单快反这种模式，在服饰赛道上取得了优势。TikTok Shop依靠内容流量、社交带货达成了快速增长。Temu通过全品类、极致低价、全托管模式开辟出了新的赛道，进而形成了差异化竞争格局。</w:t>
      </w:r>
    </w:p>
    <w:p w14:paraId="4AC07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行业发展趋势方面，全托管模式渐渐成为行业的主流，那种由平台主导供应链、物流、运营的模式得到了广泛的认同，中小商家不用进行复杂的运营就能够实现走向海外市场，平台的集中度不断提高。与此全球各个国家对于跨境电商的监管力度持续加大，合规要求越来越严格，知识产权、产品安全、数据隐私、税务关税、环保标准等内容成为了平台必须坚守的底线。供应链高效化、竞争品牌化、技术帮助深度化成为重要的趋势，小单快反、柔性生产、智能分仓、海外仓备货成为提高竞争力的关键所在。仅仅依靠低价竞争是无法长久维持下去的，平台与商家逐渐朝着品质提高、品牌建设、服务优化的方向转变，大数据选品、AI定价、智能客服、算法推荐、自动化物流等技术得到广泛运用，不断地推动着行业运营效率的提高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br w:type="page"/>
      </w:r>
    </w:p>
    <w:p w14:paraId="742DBAF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center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bookmarkStart w:id="9" w:name="_Toc22296"/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第三章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Temu商业模式存在的问题与挑战</w:t>
      </w:r>
      <w:bookmarkEnd w:id="9"/>
    </w:p>
    <w:p w14:paraId="6781644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10" w:name="_Toc28711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3.1盈利模式薄弱，长期亏损压力显著</w:t>
      </w:r>
      <w:bookmarkEnd w:id="10"/>
    </w:p>
    <w:p w14:paraId="29D0F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11" w:name="_Toc28452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emu商业模式存在的最为显著的问题，便是盈利结构比较单一，盈利能力相对薄弱，并且长时间处于亏损的状况。为了能够迅速地抢占市场份额，该平台在很长一段时间内都采用低价补贴、高额广告投放、低佣金费率这样的竞争策略。尽管在短时间内达成了用户和订单呈现出爆发式的增长，然而整体收入规模却难以覆盖高昂的运营成本。平台的收入来源高度集中，主要依靠比例较低的交易佣金、站内广告收入，像供应链金融、付费会员、增值服务等具有高附加值的收入，至今尚未形成有效的规模。其佣金费率远远低于亚马逊等传统跨境电商平台，单位订单收益水平非常低。平台想要持续获取海外用户，在Facebook、Google、TikTok等主流渠道进行大规模广告投放。获客成本长期处于较高水平，物流补贴、订单补贴、优惠券补贴等又进一步压缩了利润空间，导致平台整体亏损压力一直存在。长期依靠补贴来换取规模增长的模式没有可持续性，随着市场竞争不断加剧、外部资本环境发生变化，盈利方面的短板会直接对平台的长期稳定发展造成制约，甚至可能引发资金链紧张、战略收缩等潜在风险。</w:t>
      </w:r>
    </w:p>
    <w:p w14:paraId="3734ECA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3.2跨境物流成本高，履约效率稳定性不足</w:t>
      </w:r>
      <w:bookmarkEnd w:id="11"/>
    </w:p>
    <w:p w14:paraId="52688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Temu商业模式当中，物流环节属于成本最高且问题最为集中的核心痛点所在。该平台主要将跨境直邮当作履约方式，其物流链条比较长，涉及的环节众多，同时还存在诸多不可控因素，致使成本高、企业与履约效率不稳定这类问题长时间存在。头程空运、国际运输、海外清关、尾程配送等多项费用叠加在一起，使得单件商品的物流成本在售价中所占的比例偏高，特别是对于低价小商品来讲，物流成本甚至能够超过商品本身的价值，这就使得平台不得不持续投入大量资金去进行补贴。跨境物流容易受到天气、航班、海关政策、节假日等诸多因素的影响，部分订单的配送周期长达10到20天，远远慢于本土电商平台的配送速度，用户等待的时间过长会直接影响购物体验。欧美市场的消费者有着比较普遍的退货习惯，其退货率相对而言处于较高水平。然而跨境逆向物流流程繁杂，运费高昂，并且处理周期漫长，致使退回的商品很难达成二次销售，这给平台带来了额外的损失。虽然Temu逐渐加大了海外仓的布局力度，可是早期采用以直邮为主的模式，使得海外仓覆盖范围不足，热门商品没办法提前备货，难以实现本地配送，时效、成本方面都不具备竞争优势。物流问题不但推高了平台整体的运营成本，还直接影响着用户满意度、复购率、品牌口碑，成为制约商业模式升级的关键要素。</w:t>
      </w:r>
    </w:p>
    <w:p w14:paraId="0E39DD7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12" w:name="_Toc31326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3.3海外合规风险突出，政策适应能力较弱</w:t>
      </w:r>
      <w:bookmarkEnd w:id="12"/>
    </w:p>
    <w:p w14:paraId="1E618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bookmarkStart w:id="13" w:name="_Toc19467"/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随着Temu的全球化布局范围持续扩展，海外合规风险开始集中出现，已然成为平台发展过程中不可忽视的阻碍。欧美国家针对电商平台有着完善的监管模式、严格的执法力度，而Temu在快速扩张期间，其合规模式建设相对落后，很难全面契合各国政策要求。平台上的商品数量众多，部分商家存在盗版、仿牌、外观侵权、专利侵权等方面的问题，引发了大量投诉、法律诉讼，致使商品被下架、店铺受到处罚甚至平台被罚款。部分低价商品没有获取目标市场强制认证，像欧盟CE认证、美国FCC认证、FDA认证等，存在一定安全隐患，违反当地产品质量法规，有可能面临海关扣货、市场监管部门处罚等后果。在数据隐私保护领域，像欧盟GDPR、美国CCPA这类法规有着严格的要求。平台要是用户数据收集、存储、传输等环节没能完全依照规范去做，那就会面临高额罚款。税务与关税合规也存在隐患，多国规定跨境电商要履行增值税、关税申报义务，平台和商家要是有申报不规范或者低申报等行为，就会面临补缴税款、罚款等风险。部分国家不断强化对低价跨境商品的管控，提高关税、设置贸易壁垒，Temu对政策变化的响应速度和适应能力欠缺，容易致使运营成本上升、业务开展受阻，合规风险不但会造成直接经济损失，还会损害平台品牌声誉，甚至影响平台在当地市场的合法运营。</w:t>
      </w:r>
    </w:p>
    <w:p w14:paraId="7E9558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3.4品控体系不完善，用户信任度有待提升</w:t>
      </w:r>
      <w:bookmarkEnd w:id="13"/>
    </w:p>
    <w:p w14:paraId="399E9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emu想要维持极致低价的竞争优势，但是在商品品控管理方面有着比较明显的不足。其商品质量良莠不齐，用户投诉率比较高，用户信任度也不足，这些问题都比较突出。部分低价商品存在材质差、做工粗糙、功能有缺陷、容易损坏等情况，和商品描述有很大差距，直接让用户的购物体验变差。平台的SKU数量众多，主要依靠算法进行自动化审核，人工抽检的比例较低，很难全面排查劣质商品、虚假宣传商品，致使不合格商品流入市场。部分商家存在商品图片过度美化、参数虚标等行为，用户收到商品后心理落差明显，进而使得退货率与差评率进一步提高。在售后服务环节，客服响应速度慢、纠纷处理周期长、退货流程复杂、退款不及时等问题普遍存在，用户维权成本高，进一步降低了用户满意度。品控、售后方面存在的问题，会对平台的口碑、复购率产生直接影响。在长期发展过程中，这类问题容易致使平台陷入一种恶性循环，即低价导致低质，低质又引发低信任度。这种恶性循环会削弱用户的忠诚度，进而对平台朝着高质量、高品质方向进行转型升级造成阻碍。</w:t>
      </w:r>
    </w:p>
    <w:p w14:paraId="25BF5D40">
      <w:pPr>
        <w:rPr>
          <w:color w:val="000000"/>
          <w:sz w:val="24"/>
          <w:szCs w:val="24"/>
        </w:rPr>
      </w:pPr>
      <w:bookmarkStart w:id="14" w:name="_Toc22226"/>
      <w:r>
        <w:rPr>
          <w:color w:val="000000"/>
          <w:sz w:val="24"/>
          <w:szCs w:val="24"/>
        </w:rPr>
        <w:br w:type="page"/>
      </w:r>
    </w:p>
    <w:p w14:paraId="7A18493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center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第四章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Temu商业模式优化路径探讨</w:t>
      </w:r>
      <w:bookmarkEnd w:id="14"/>
    </w:p>
    <w:p w14:paraId="330C20A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15" w:name="_Toc11388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4.1优化盈利结构，提升平台可持续经营能力</w:t>
      </w:r>
      <w:bookmarkEnd w:id="15"/>
    </w:p>
    <w:p w14:paraId="1827AD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emu面临盈利模式薄弱、长期亏损的状况，要维持核心价格竞争力，逐步建立多元化且可持续的盈利模式，促使平台从规模导向转变为效益导向。平台能够针对不同品类和等级的商家实施差异化佣金策略，对于优质商品、品牌商品适度提高佣金比例，对低价走量商品保持低佣金水平，平衡收益与市场竞争力，同时逐渐取消非理性补贴，减少无效亏损。</w:t>
      </w:r>
    </w:p>
    <w:p w14:paraId="14A20F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拓展收入来源这一领域，平台应当大力推动站内广告业务的发展，推出诸如关键词竞价、首页推荐、活动展位、直播带货等多种样式的营销产品，以此提高广告收入所占的比例。还应进行供应链金融服务，为合作工厂与商家提供贷款、结算、保险等金融服务，进而增加金融收益。要推出付费会员模式，给会员提供免运费、优先发货、专属客服等权益，从而获取稳定的会员费收入。在成本控制方面，借助大数据、AI算法来优化广告投放策略，精准地定位高转化用户，降低无效投放、获客成本。还要强化私域流量运营，通过邮件营销、App推送、社群运营等方式激活老用户，提高复购率，降低拉新成本。并对采购、仓储、物流、运营等各个环节实施精细化管理，压缩不必要的支出，提高资源利用效率，逐步达成盈亏平衡。</w:t>
      </w:r>
    </w:p>
    <w:p w14:paraId="6261A1AB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16" w:name="_Toc18047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4.2构建智能化跨境物流体系，降低履约综合成本</w:t>
      </w:r>
      <w:bookmarkEnd w:id="16"/>
    </w:p>
    <w:p w14:paraId="11A1F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物流优化对于Temu商业模式升级而言是关键要点所在，平台需要借助海外仓布局、线路优化、技术帮助等手段，全方位地降低物流成本并提高履约时效。要加速海外仓网络建设，在美国、德国、英国、法国、澳大利亚等核心市场建立自营海外仓与合作海外仓，针对高频爆款商品提前做好备货工作，达成本地发货，把配送时效从7至15天缩短为3至5天，显著降低直邮成本。</w:t>
      </w:r>
    </w:p>
    <w:p w14:paraId="7D60D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和头部国际物流企业签署长期战略合作协议，争取获得更低的协议运价，整合空运、海运、铁路运输资源，依据商品价值、重量、时效需求挑选最优运输方式，以此降低单位物流成本。在技术帮助方面，借助AI算法达成智能分仓与库存调度，依据销售数据预测各区域商品销量，智能分配库存，实现就近发货，提高库存周转率，减少滞销与缺货带来的损失，建立物流轨迹实时监控系统，提高物流透明度与稳定性。完善逆向物流模式，在核心市场设立退货处理中心，简化退货流程，降低退货运费，针对可二次销售的商品重新进行质检并上架，减少退货造成的损失，推出“仅退款不退货”等低成本售后方案，在提高用户体验的同时有效控制成本。</w:t>
      </w:r>
    </w:p>
    <w:p w14:paraId="4F76A4A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17" w:name="_Toc4770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4.3建立全球化合规管理系统，强化政策风险防控</w:t>
      </w:r>
      <w:bookmarkEnd w:id="17"/>
    </w:p>
    <w:p w14:paraId="0C8720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合规乃是平台进行全球化经营时所必须坚守的底线。Temu一定要建立起一套系统化、常态化且本土化的合规管理模式，以此来全方位防范各类政策法律风险。设立独立的合规管理部门，组建专业的合规团队，该团队专门负责对知识产权、产品认证、数据隐私、税务关税、政策法规展开研究并予以执行，同时对平台合规风险进行全程监控。</w:t>
      </w:r>
    </w:p>
    <w:p w14:paraId="4604D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商品准入环节，要建立严格的合规审核机制，规定商家需提供完整资质文件、产品认证、专利证明，对于侵权、劣质、无证商品实行一票否决制。同时还要建立侵权投诉快速处理流程，及时下架违规商品，以此降低诉讼风险。在数据合规方面，要严格依照欧盟GDPR、美国CCPA等法规要求，规范用户数据收集、使用、存储及跨境传输行为，定期进行数据保护影响评估，避免出现合规罚款情况。在税务与关税方面，要和当地会计师事务所、税务机构展开合作，规范增值税、关税申报流程，确保税务合规，降低政策风险。还需建立政策预警与快速响应机制，实时跟踪各国电商政策变化，提前制定应对方案，迅速调整运营策略，从而降低政策变动带来的冲击。</w:t>
      </w:r>
    </w:p>
    <w:p w14:paraId="6583BA3C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18" w:name="_Toc24100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4.4完善全流程品控与售后机制，提升用户体验</w:t>
      </w:r>
      <w:bookmarkEnd w:id="18"/>
    </w:p>
    <w:p w14:paraId="2141B6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品控、售后对于提高用户信任度而言至关重要，Temu需要建立一套从工厂直至用户的全流程品控模式，以此全面提高商品质量、服务水平。要强化供应商准入与管理机制，严格挑选合作工厂，考查其生产能力、质量控制情况、信誉资质等方面，将劣质供应商予以淘汰，同时建立商家评级模式，给优质商家更多的流量倾斜，对违规商家实施处罚甚至清退措施。</w:t>
      </w:r>
    </w:p>
    <w:p w14:paraId="1C03F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品控检测工作当中，建立起一套三段式的品控流程。在商品入仓之前进行首次检验，对商品的资质、样品展开核查。在仓储阶段实施抽检操作，以此排查其中存在的质量问题。在发货之前进行最终检验，确保商品和描述相符。适度提高人工抽检的比例，从而减少算法出现漏检的情况。统一商品图片、描述、参数的标准，严格禁止虚假宣传、过度美化的现象，保障实物与信息保持一致。建立用户评价监督机制，针对刷好评、虚假评价的行为予以严厉打击。在售后服务方面，增加多语言人工客服的配置，提高响应速度。优化纠纷处理流程，达成快速退款、快速换货的目标，降低用户维权成本。建立用户反馈闭环机制，依据用户的建议及时改进商品与服务，持续提高用户满意度与忠诚度。</w:t>
      </w:r>
    </w:p>
    <w:p w14:paraId="4B9086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</w:p>
    <w:p w14:paraId="4AD47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lang w:val="en-US" w:eastAsia="zh-CN"/>
        </w:rPr>
        <w:br w:type="page"/>
      </w:r>
    </w:p>
    <w:p w14:paraId="56DBBED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center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bookmarkStart w:id="19" w:name="_Toc3171"/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第五章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研究结论与展望</w:t>
      </w:r>
      <w:bookmarkEnd w:id="19"/>
    </w:p>
    <w:p w14:paraId="05845F6D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20" w:name="_Toc27099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5.1研究结论</w:t>
      </w:r>
      <w:bookmarkEnd w:id="20"/>
    </w:p>
    <w:p w14:paraId="53C5F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文针对Temu跨境电商平台商业模式展开分析，经分析得出四项主要结论。Temu能够快速崛起，关键在于全托管模式、中国柔性供应链、算法技术与极致低价策略共同发挥作用。该平台秉持低价普惠理念，将欧美价格敏感型用户视作核心群体，借助全域流量作为渠道，把全链路运营当作关键业务，并且依靠低成本作为竞争手段，在短时间内便在全球市场实现了高速扩张，已然成为全托管跨境电商的典型范例。第二，Temu的商业模式在规模增长方面取得了一定成效，然而在可持续发展方面却存在比较突出的问题。这些问题主要体现在盈利结构单一、长期处于亏损状态，跨境物流成本高昂且时效不稳定，海外合规风险集中，品控模式不完善致使用户信任度不足，过度依赖低价策略而品牌化发展滞后。这些情况相互交织在一起，对平台的长期健康发展形成了制约。第三，优化Temu商业模式时需要秉持规模与效益并重、扩张与合规同步、低价与品质平衡的原则。借助优化盈利结构、建立智能物流模式、搭建全球合规系统、完善品控售后机制、推进品牌化升级这五大途径，能够解决当前存在的问题，促使平台从高速增长转变为高质量发展。第四，Temu的实践为中国跨境电商行业带来了重要启示。全托管模式会成为未来行业的主流方向，不过要以合规、品控、物流、盈利作为基础。全球化运营需要尊重当地的政策、法律、文化，进而实现本土化适配。</w:t>
      </w:r>
    </w:p>
    <w:p w14:paraId="7D3A0869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300" w:lineRule="auto"/>
        <w:ind w:left="0" w:right="0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21" w:name="_Toc12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5.2研究不足与未来展望</w:t>
      </w:r>
      <w:bookmarkEnd w:id="21"/>
    </w:p>
    <w:p w14:paraId="3EA76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本研究存在一些局限性，因为Temu部分内部运营数据、财务数据没有完全公开，所以研究主要依靠行业报告、第三方数据和公开信息，定量分析的深度不够，并且本文关注整体商业模式，没有针对不同国家、不同品类的运营差异做细分研究。未来能够从三个方面进一步展开研究：一是对Temu美国、欧洲等核心市场进行本土化商业模式对比研究，剖析区域差异与适配策略，二是对Temu供应链效率、物流成本、用户行为做量化实证研究，提高研究精准度，三是跟踪Temu优化策略落地效果，进行长期追踪研究，为商业模式迭代提供持续参考。</w:t>
      </w:r>
    </w:p>
    <w:p w14:paraId="3CAAD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全球跨境电商行业持续走向成熟、监管日益严格、竞争不断加剧的背景下，像Temu这样的全托管平台要维持全球市场的竞争力，就得持续对商业模式加以优化。而优化过程中需要平衡成本、效率、合规、体验、品牌这五大核心要素。未来中国跨境电商会从“规模出海”全面转变为“品牌出海、品质出海、合规出海”，为全球数字贸易的发展贡献更多力量。</w:t>
      </w:r>
    </w:p>
    <w:p w14:paraId="73DA7C10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7ED4800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both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bookmarkStart w:id="22" w:name="_Toc27992"/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参考文献</w:t>
      </w:r>
      <w:bookmarkEnd w:id="22"/>
    </w:p>
    <w:p w14:paraId="016DD164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柳俊杰.新势力跨境电商平台商业模式创新研究——基于Temu的单案例研究[D].辽宁大学,2025.</w:t>
      </w:r>
    </w:p>
    <w:p w14:paraId="48064BD0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周宇.跨境电商平台商业模式创新路径研究[D].广西民族大学,2024.</w:t>
      </w:r>
    </w:p>
    <w:p w14:paraId="7344FBDA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赵新怡.A公司跨境电商商业模式优化策略研究[D].商务部国际贸易经济合作研究院,2024.</w:t>
      </w:r>
    </w:p>
    <w:p w14:paraId="3F90664B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祝敏杰.财务视角下兰亭集势跨境电商平台商业模式研究[D].中国石油大学(北京),2024.</w:t>
      </w:r>
    </w:p>
    <w:p w14:paraId="76631799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桂嘉越.亚马逊跨境电商平台商业模式研究[J].现代商业,2024,(16):49-52.</w:t>
      </w:r>
    </w:p>
    <w:p w14:paraId="09C165D3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张明侠.跨境电商平台商业模式分析——以某进口跨境电商平台为例[J].商讯,2024,(23):1-4.</w:t>
      </w:r>
    </w:p>
    <w:p w14:paraId="023305C5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高绍唇.中国跨境电商“四小龙”商业模式创新的对比研究[D].广西民族大学,2025.</w:t>
      </w:r>
    </w:p>
    <w:p w14:paraId="3A32D3FF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李晶.跨境电商平台商业模式创新对中国电商出海的启示——基于商业画布模型的研究[J].现代商业,2025,(21):52-55.</w:t>
      </w:r>
    </w:p>
    <w:p w14:paraId="68D6A8E2">
      <w:pPr>
        <w:numPr>
          <w:ilvl w:val="0"/>
          <w:numId w:val="1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赵超颖.跨境电商平台Temu商业模式研究[D].吉林大学,2024.</w:t>
      </w:r>
    </w:p>
    <w:p w14:paraId="2C82F4C6">
      <w:pPr>
        <w:numPr>
          <w:ilvl w:val="0"/>
          <w:numId w:val="0"/>
        </w:numPr>
        <w:spacing w:line="360" w:lineRule="auto"/>
        <w:jc w:val="left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 xml:space="preserve">[10] 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李梦琪.跨境电商平台虾皮公司的商业模式研究[D].吉林大学,2024.</w:t>
      </w:r>
    </w:p>
    <w:p w14:paraId="469C0E7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br w:type="page"/>
      </w:r>
    </w:p>
    <w:p w14:paraId="2B97978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40" w:lineRule="atLeast"/>
        <w:ind w:left="0" w:right="0"/>
        <w:jc w:val="center"/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</w:pPr>
      <w:bookmarkStart w:id="23" w:name="_Toc8906"/>
      <w:r>
        <w:rPr>
          <w:rFonts w:hint="eastAsia" w:ascii="黑体" w:hAnsi="黑体" w:eastAsia="黑体" w:cs="黑体"/>
          <w:b w:val="0"/>
          <w:bCs w:val="0"/>
          <w:color w:val="000000"/>
          <w:sz w:val="30"/>
          <w:szCs w:val="30"/>
        </w:rPr>
        <w:t>致谢</w:t>
      </w:r>
      <w:bookmarkEnd w:id="23"/>
    </w:p>
    <w:p w14:paraId="736E5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本论文的完成离不开指导老师的悉心指导，从选题、框架搭建到内容修改，老师都给予了细致的建议，让我顺利完成写作。感谢学校和学院提供的学习环境与文献支持，感谢各位老师的教诲。因本人水平有限，论文难免不足，恳请各位老师批评指正。</w:t>
      </w:r>
    </w:p>
    <w:p w14:paraId="05DD23F0">
      <w:pPr>
        <w:tabs>
          <w:tab w:val="right" w:pos="1843"/>
          <w:tab w:val="left" w:pos="7513"/>
        </w:tabs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C6CBD">
    <w:pPr>
      <w:pStyle w:val="7"/>
      <w:jc w:val="center"/>
    </w:pPr>
  </w:p>
  <w:p w14:paraId="48191542">
    <w:pPr>
      <w:pStyle w:val="7"/>
      <w:jc w:val="center"/>
      <w:rPr>
        <w:rFonts w:hint="default" w:eastAsia="等线"/>
        <w:lang w:val="en-US" w:eastAsia="zh-CN"/>
      </w:rPr>
    </w:pPr>
  </w:p>
  <w:p w14:paraId="1B4BE825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4007D">
    <w:pPr>
      <w:pStyle w:val="7"/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3B6CE3">
                          <w:pPr>
                            <w:pStyle w:val="7"/>
                            <w:jc w:val="center"/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A3B6CE3">
                    <w:pPr>
                      <w:pStyle w:val="7"/>
                      <w:jc w:val="center"/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67231688">
    <w:pPr>
      <w:pStyle w:val="7"/>
      <w:jc w:val="center"/>
      <w:rPr>
        <w:rFonts w:hint="default" w:eastAsia="等线"/>
        <w:lang w:val="en-US" w:eastAsia="zh-CN"/>
      </w:rPr>
    </w:pPr>
  </w:p>
  <w:p w14:paraId="7CA56033"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7267C">
    <w:pPr>
      <w:pStyle w:val="8"/>
      <w:pBdr>
        <w:bottom w:val="none" w:color="auto" w:sz="0" w:space="1"/>
      </w:pBd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296864">
    <w:pPr>
      <w:pStyle w:val="8"/>
      <w:pBdr>
        <w:bottom w:val="single" w:color="auto" w:sz="4" w:space="1"/>
      </w:pBdr>
      <w:jc w:val="center"/>
    </w:pPr>
    <w:r>
      <w:rPr>
        <w:sz w:val="24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16E767">
                          <w:pPr>
                            <w:jc w:val="center"/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广东创新科技职业学院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  <w:lang w:val="en-US" w:eastAsia="zh-CN"/>
                            </w:rPr>
                            <w:t>2026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1"/>
                            </w:rPr>
                            <w:t>届毕业设计（论文）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KVIPQyAgAAY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pUg9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16E767">
                    <w:pPr>
                      <w:jc w:val="center"/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广东创新科技职业学院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  <w:lang w:val="en-US" w:eastAsia="zh-CN"/>
                      </w:rPr>
                      <w:t>2026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1"/>
                      </w:rPr>
                      <w:t>届毕业设计（论文）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D31D432"/>
    <w:multiLevelType w:val="multilevel"/>
    <w:tmpl w:val="5D31D432"/>
    <w:lvl w:ilvl="0" w:tentative="0">
      <w:start w:val="1"/>
      <w:numFmt w:val="decimal"/>
      <w:lvlText w:val="[%1]"/>
      <w:lvlJc w:val="left"/>
      <w:pPr>
        <w:tabs>
          <w:tab w:val="left" w:pos="312"/>
        </w:tabs>
      </w:pPr>
    </w:lvl>
    <w:lvl w:ilvl="1" w:tentative="0">
      <w:start w:val="1"/>
      <w:numFmt w:val="decimalEnclosedCircleChinese"/>
      <w:lvlText w:val="%2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 w:tentative="0">
      <w:start w:val="1"/>
      <w:numFmt w:val="decimal"/>
      <w:lvlText w:val="%3)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lowerLetter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lowerRoman"/>
      <w:lvlText w:val="%7)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Letter"/>
      <w:lvlText w:val="%9)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F6E"/>
    <w:rsid w:val="001755CD"/>
    <w:rsid w:val="00184F84"/>
    <w:rsid w:val="002C12BA"/>
    <w:rsid w:val="003A1B5D"/>
    <w:rsid w:val="003B2C7A"/>
    <w:rsid w:val="00445346"/>
    <w:rsid w:val="004716B7"/>
    <w:rsid w:val="0048694F"/>
    <w:rsid w:val="0053668F"/>
    <w:rsid w:val="0062094D"/>
    <w:rsid w:val="0082610D"/>
    <w:rsid w:val="00841CD7"/>
    <w:rsid w:val="008A46E7"/>
    <w:rsid w:val="00917F9B"/>
    <w:rsid w:val="00AF183F"/>
    <w:rsid w:val="00B63AC6"/>
    <w:rsid w:val="00BB62C9"/>
    <w:rsid w:val="00BE3854"/>
    <w:rsid w:val="00C22CEF"/>
    <w:rsid w:val="00DD58A7"/>
    <w:rsid w:val="00E072CD"/>
    <w:rsid w:val="00E41F59"/>
    <w:rsid w:val="00EA3B15"/>
    <w:rsid w:val="00F14F6E"/>
    <w:rsid w:val="00F8791A"/>
    <w:rsid w:val="039465F0"/>
    <w:rsid w:val="06EC0F1B"/>
    <w:rsid w:val="0E3D7D5C"/>
    <w:rsid w:val="0FE819B0"/>
    <w:rsid w:val="1307364E"/>
    <w:rsid w:val="14E950DD"/>
    <w:rsid w:val="32683AFD"/>
    <w:rsid w:val="356B1572"/>
    <w:rsid w:val="369A469D"/>
    <w:rsid w:val="3FFD26B8"/>
    <w:rsid w:val="40397CBA"/>
    <w:rsid w:val="50207F4C"/>
    <w:rsid w:val="52BB3C4D"/>
    <w:rsid w:val="53984ED9"/>
    <w:rsid w:val="53CF47FC"/>
    <w:rsid w:val="565D1DDC"/>
    <w:rsid w:val="57102FAD"/>
    <w:rsid w:val="61CE78C1"/>
    <w:rsid w:val="62AE04EE"/>
    <w:rsid w:val="64A45F73"/>
    <w:rsid w:val="6EF50F12"/>
    <w:rsid w:val="74127471"/>
    <w:rsid w:val="74826C10"/>
    <w:rsid w:val="75034D3C"/>
    <w:rsid w:val="77847928"/>
    <w:rsid w:val="7CBE4AD3"/>
    <w:rsid w:val="7F83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link w:val="18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Body Text Indent 2"/>
    <w:basedOn w:val="1"/>
    <w:qFormat/>
    <w:uiPriority w:val="0"/>
    <w:pPr>
      <w:spacing w:line="360" w:lineRule="auto"/>
    </w:pPr>
  </w:style>
  <w:style w:type="paragraph" w:styleId="7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</w:style>
  <w:style w:type="paragraph" w:styleId="8">
    <w:name w:val="header"/>
    <w:basedOn w:val="1"/>
    <w:unhideWhenUsed/>
    <w:qFormat/>
    <w:uiPriority w:val="0"/>
    <w:pPr>
      <w:tabs>
        <w:tab w:val="center" w:pos="4153"/>
        <w:tab w:val="right" w:pos="8306"/>
      </w:tabs>
      <w:snapToGrid w:val="0"/>
    </w:pPr>
  </w:style>
  <w:style w:type="paragraph" w:styleId="9">
    <w:name w:val="toc 1"/>
    <w:basedOn w:val="1"/>
    <w:next w:val="1"/>
    <w:qFormat/>
    <w:uiPriority w:val="0"/>
  </w:style>
  <w:style w:type="paragraph" w:styleId="10">
    <w:name w:val="toc 2"/>
    <w:basedOn w:val="1"/>
    <w:next w:val="1"/>
    <w:qFormat/>
    <w:uiPriority w:val="0"/>
    <w:pPr>
      <w:ind w:left="420" w:leftChars="200"/>
    </w:pPr>
  </w:style>
  <w:style w:type="paragraph" w:styleId="11">
    <w:name w:val="HTML Preformatted"/>
    <w:basedOn w:val="1"/>
    <w:link w:val="16"/>
    <w:qFormat/>
    <w:uiPriority w:val="0"/>
    <w:rPr>
      <w:rFonts w:ascii="Courier New" w:hAnsi="Courier New" w:cs="Courier New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HTML 预设格式 字符"/>
    <w:basedOn w:val="14"/>
    <w:link w:val="11"/>
    <w:qFormat/>
    <w:uiPriority w:val="0"/>
    <w:rPr>
      <w:rFonts w:ascii="Courier New" w:hAnsi="Courier New" w:eastAsia="等线" w:cs="Courier New"/>
      <w:kern w:val="2"/>
    </w:rPr>
  </w:style>
  <w:style w:type="character" w:customStyle="1" w:styleId="17">
    <w:name w:val="标题 1 Char"/>
    <w:link w:val="2"/>
    <w:qFormat/>
    <w:uiPriority w:val="0"/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customStyle="1" w:styleId="18">
    <w:name w:val="标题 2 Char"/>
    <w:link w:val="3"/>
    <w:qFormat/>
    <w:uiPriority w:val="0"/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8979</Words>
  <Characters>9426</Characters>
  <Lines>26</Lines>
  <Paragraphs>25</Paragraphs>
  <TotalTime>0</TotalTime>
  <ScaleCrop>false</ScaleCrop>
  <LinksUpToDate>false</LinksUpToDate>
  <CharactersWithSpaces>9474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2025-05-12T07:22:00Z</dcterms:created>
  <dc:creator>Administrator</dc:creator>
  <cp:lastModifiedBy>敏而好学</cp:lastModifiedBy>
  <dcterms:modified xsi:type="dcterms:W3CDTF">2026-05-28T08:17:23Z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eyJoZGlkIjoiNGEyZmM4MGEwZmE1Zjk0YWJlN2Q1YzRmNTVhYTJiNWEiLCJ1c2VySWQiOiIzNjI3NjAxNDQifQ==</vt:lpwstr>
  </property>
  <property fmtid="{D5CDD505-2E9C-101B-9397-08002B2CF9AE}" pid="4" name="ICV">
    <vt:lpwstr>6DC3E82D76CE4A039AEBE35F09482F10_13</vt:lpwstr>
  </property>
</Properties>
</file>