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sz w:val="56"/>
          <w:szCs w:val="36"/>
          <w:lang w:val="en-US" w:eastAsia="zh-CN"/>
        </w:rPr>
      </w:pPr>
      <w:bookmarkStart w:id="0" w:name="_Toc2151"/>
      <w:bookmarkStart w:id="1" w:name="_Toc18546"/>
      <w:r>
        <w:rPr>
          <w:rFonts w:hint="eastAsia" w:ascii="黑体" w:eastAsia="黑体"/>
          <w:b/>
          <w:bCs/>
          <w:sz w:val="72"/>
          <w:szCs w:val="72"/>
          <w:lang w:eastAsia="zh-CN"/>
        </w:rPr>
        <w:drawing>
          <wp:inline distT="0" distB="0" distL="114300" distR="114300">
            <wp:extent cx="5263515" cy="1313815"/>
            <wp:effectExtent l="0" t="0" r="0" b="0"/>
            <wp:docPr id="2" name="图片 1" descr="建筑与设计学院（蓝色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建筑与设计学院（蓝色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31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>
      <w:pPr>
        <w:pStyle w:val="2"/>
        <w:bidi w:val="0"/>
        <w:jc w:val="center"/>
        <w:rPr>
          <w:rFonts w:hint="eastAsia"/>
          <w:sz w:val="72"/>
          <w:szCs w:val="40"/>
          <w:lang w:val="en-US" w:eastAsia="zh-CN"/>
        </w:rPr>
      </w:pPr>
    </w:p>
    <w:p>
      <w:pPr>
        <w:pStyle w:val="2"/>
        <w:bidi w:val="0"/>
        <w:jc w:val="center"/>
        <w:rPr>
          <w:rFonts w:hint="eastAsia"/>
          <w:sz w:val="72"/>
          <w:szCs w:val="40"/>
          <w:lang w:val="en-US" w:eastAsia="zh-CN"/>
        </w:rPr>
      </w:pPr>
      <w:bookmarkStart w:id="2" w:name="_Toc31055"/>
      <w:bookmarkStart w:id="3" w:name="_Toc29830"/>
      <w:r>
        <w:rPr>
          <w:rFonts w:hint="eastAsia"/>
          <w:sz w:val="72"/>
          <w:szCs w:val="40"/>
          <w:lang w:val="en-US" w:eastAsia="zh-CN"/>
        </w:rPr>
        <w:t>办公楼预算书编制</w:t>
      </w:r>
      <w:bookmarkEnd w:id="2"/>
      <w:bookmarkEnd w:id="3"/>
    </w:p>
    <w:p>
      <w:pPr>
        <w:pStyle w:val="5"/>
        <w:jc w:val="both"/>
        <w:rPr>
          <w:rFonts w:hint="eastAsia"/>
          <w:lang w:val="en-US" w:eastAsia="zh-CN"/>
        </w:rPr>
      </w:pPr>
    </w:p>
    <w:tbl>
      <w:tblPr>
        <w:tblStyle w:val="12"/>
        <w:tblpPr w:leftFromText="180" w:rightFromText="180" w:vertAnchor="text" w:horzAnchor="page" w:tblpXSpec="center" w:tblpY="307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4900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ind w:firstLine="720" w:firstLineChars="0"/>
              <w:jc w:val="left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40"/>
                <w:szCs w:val="40"/>
              </w:rPr>
              <w:t>题    目</w:t>
            </w:r>
          </w:p>
        </w:tc>
        <w:tc>
          <w:tcPr>
            <w:tcW w:w="4900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jc w:val="center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某建筑工程预算书编制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ind w:firstLine="720" w:firstLineChars="0"/>
              <w:jc w:val="left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40"/>
                <w:szCs w:val="40"/>
                <w:lang w:eastAsia="zh-CN"/>
              </w:rPr>
              <w:t>学</w:t>
            </w:r>
            <w:r>
              <w:rPr>
                <w:rFonts w:hint="eastAsia" w:ascii="楷体_GB2312" w:eastAsia="楷体_GB2312"/>
                <w:bCs/>
                <w:sz w:val="40"/>
                <w:szCs w:val="40"/>
                <w:lang w:val="en-US" w:eastAsia="zh-CN"/>
              </w:rPr>
              <w:t xml:space="preserve">    </w:t>
            </w:r>
            <w:r>
              <w:rPr>
                <w:rFonts w:hint="eastAsia" w:ascii="楷体_GB2312" w:eastAsia="楷体_GB2312"/>
                <w:bCs/>
                <w:sz w:val="40"/>
                <w:szCs w:val="40"/>
                <w:lang w:eastAsia="zh-CN"/>
              </w:rPr>
              <w:t>院</w:t>
            </w:r>
          </w:p>
        </w:tc>
        <w:tc>
          <w:tcPr>
            <w:tcW w:w="490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jc w:val="center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建筑与设计学院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ind w:firstLine="720" w:firstLineChars="0"/>
              <w:jc w:val="left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40"/>
                <w:szCs w:val="40"/>
              </w:rPr>
              <w:t>专    业</w:t>
            </w:r>
          </w:p>
        </w:tc>
        <w:tc>
          <w:tcPr>
            <w:tcW w:w="490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jc w:val="center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工程造价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ind w:firstLine="720" w:firstLineChars="0"/>
              <w:jc w:val="left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40"/>
                <w:szCs w:val="40"/>
              </w:rPr>
              <w:t>班    级</w:t>
            </w:r>
          </w:p>
        </w:tc>
        <w:tc>
          <w:tcPr>
            <w:tcW w:w="490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jc w:val="center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23造价2班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ind w:firstLine="720" w:firstLineChars="0"/>
              <w:jc w:val="left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40"/>
                <w:szCs w:val="40"/>
              </w:rPr>
              <w:t>姓    名</w:t>
            </w:r>
          </w:p>
        </w:tc>
        <w:tc>
          <w:tcPr>
            <w:tcW w:w="490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jc w:val="center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李肇镔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ind w:firstLine="720" w:firstLineChars="0"/>
              <w:jc w:val="left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40"/>
                <w:szCs w:val="40"/>
              </w:rPr>
              <w:t>指导教师</w:t>
            </w:r>
          </w:p>
        </w:tc>
        <w:tc>
          <w:tcPr>
            <w:tcW w:w="490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jc w:val="center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周香兰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9" w:type="dxa"/>
            <w:tcBorders>
              <w:bottom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ind w:firstLine="720" w:firstLineChars="0"/>
              <w:jc w:val="left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eastAsia="楷体_GB2312"/>
                <w:bCs/>
                <w:sz w:val="40"/>
                <w:szCs w:val="40"/>
                <w:lang w:eastAsia="zh-CN"/>
              </w:rPr>
              <w:t>院</w:t>
            </w:r>
            <w:r>
              <w:rPr>
                <w:rFonts w:hint="eastAsia" w:ascii="楷体_GB2312" w:eastAsia="楷体_GB2312"/>
                <w:bCs/>
                <w:sz w:val="40"/>
                <w:szCs w:val="40"/>
                <w:lang w:val="en-US" w:eastAsia="zh-CN"/>
              </w:rPr>
              <w:t xml:space="preserve">    </w:t>
            </w:r>
            <w:r>
              <w:rPr>
                <w:rFonts w:hint="eastAsia" w:ascii="楷体_GB2312" w:eastAsia="楷体_GB2312"/>
                <w:bCs/>
                <w:sz w:val="40"/>
                <w:szCs w:val="40"/>
                <w:lang w:eastAsia="zh-CN"/>
              </w:rPr>
              <w:t>长</w:t>
            </w:r>
          </w:p>
        </w:tc>
        <w:tc>
          <w:tcPr>
            <w:tcW w:w="4900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jc w:val="center"/>
              <w:textAlignment w:val="auto"/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吴学云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00" w:lineRule="exact"/>
        <w:jc w:val="center"/>
        <w:textAlignment w:val="auto"/>
        <w:rPr>
          <w:rFonts w:hint="default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bookmarkStart w:id="25" w:name="_GoBack"/>
      <w:bookmarkEnd w:id="25"/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83370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>
          <w:pPr>
            <w:bidi w:val="0"/>
            <w:jc w:val="center"/>
            <w:rPr>
              <w:rFonts w:hint="eastAsia" w:asciiTheme="minorEastAsia" w:hAnsiTheme="minorEastAsia" w:eastAsiaTheme="minorEastAsia" w:cstheme="minorEastAsia"/>
              <w:kern w:val="2"/>
              <w:sz w:val="40"/>
              <w:szCs w:val="48"/>
              <w:lang w:val="en-US" w:eastAsia="zh-CN" w:bidi="ar-SA"/>
            </w:rPr>
          </w:pPr>
          <w:r>
            <w:rPr>
              <w:rStyle w:val="14"/>
              <w:rFonts w:hint="eastAsia" w:asciiTheme="minorEastAsia" w:hAnsiTheme="minorEastAsia" w:eastAsiaTheme="minorEastAsia" w:cstheme="minorEastAsia"/>
              <w:sz w:val="56"/>
              <w:szCs w:val="36"/>
            </w:rPr>
            <w:t>目录</w:t>
          </w:r>
          <w:r>
            <w:rPr>
              <w:rFonts w:hint="eastAsia" w:asciiTheme="minorEastAsia" w:hAnsiTheme="minorEastAsia" w:eastAsiaTheme="minorEastAsia" w:cstheme="minorEastAsia"/>
              <w:sz w:val="40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40"/>
              <w:szCs w:val="48"/>
              <w:lang w:val="en-US" w:eastAsia="zh-CN"/>
            </w:rPr>
            <w:instrText xml:space="preserve">TOC \o "1-3" \h \u </w:instrText>
          </w:r>
          <w:r>
            <w:rPr>
              <w:rFonts w:hint="eastAsia" w:asciiTheme="minorEastAsia" w:hAnsiTheme="minorEastAsia" w:eastAsiaTheme="minorEastAsia" w:cstheme="minorEastAsia"/>
              <w:sz w:val="40"/>
              <w:szCs w:val="48"/>
              <w:lang w:val="en-US" w:eastAsia="zh-CN"/>
            </w:rPr>
            <w:fldChar w:fldCharType="separate"/>
          </w:r>
        </w:p>
        <w:p>
          <w:pPr>
            <w:pStyle w:val="8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_Toc24739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  <w:lang w:val="en-US" w:eastAsia="zh-CN"/>
            </w:rPr>
            <w:t>前言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_Toc24739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3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_Toc21389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  <w:lang w:val="en-US" w:eastAsia="zh-CN"/>
            </w:rPr>
            <w:t>第一章 建筑工程预算书编制理论基础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_Toc21389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4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_Toc15102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4"/>
              <w:lang w:val="en-US" w:eastAsia="zh-CN"/>
            </w:rPr>
            <w:t>一、预算编制相关规范与标准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_Toc15102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4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4"/>
              <w:szCs w:val="32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_Toc21074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4"/>
              <w:lang w:val="en-US" w:eastAsia="zh-CN"/>
            </w:rPr>
            <w:t>二、 清单计价与定额计价区别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_Toc21074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4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_Toc14544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  <w:lang w:val="en-US" w:eastAsia="zh-CN"/>
            </w:rPr>
            <w:t>第二章 工程概况与预算书编制准备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_Toc14544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_Toc32658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4"/>
              <w:lang w:val="en-US" w:eastAsia="zh-CN"/>
            </w:rPr>
            <w:t>一、 本工程项目的基本信息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_Toc32658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_Toc32139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4"/>
              <w:lang w:val="en-US" w:eastAsia="zh-CN"/>
            </w:rPr>
            <w:t>二、 取费费率标准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_Toc32139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_Toc2583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4"/>
              <w:lang w:val="en-US" w:eastAsia="zh-CN"/>
            </w:rPr>
            <w:t>三、广联达土建建模前期准备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_Toc2583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_Toc6525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  <w:lang w:val="en-US" w:eastAsia="zh-CN"/>
            </w:rPr>
            <w:t>第三章 工程量计算与清单编制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_Toc6525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8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_Toc13021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4"/>
              <w:lang w:val="en-US" w:eastAsia="zh-CN"/>
            </w:rPr>
            <w:t>一、 清单的套用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_Toc13021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8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_Toc7157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4"/>
              <w:lang w:val="en-US" w:eastAsia="zh-CN"/>
            </w:rPr>
            <w:t>二、 工程量汇总计算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_Toc7157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8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_Toc23858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  <w:lang w:val="en-US" w:eastAsia="zh-CN"/>
            </w:rPr>
            <w:t>第三章 套用定额并编制招标控制价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_Toc23858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9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_Toc3935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4"/>
              <w:lang w:val="en-US" w:eastAsia="zh-CN"/>
            </w:rPr>
            <w:t>一、 使用广联达云计价GCCP6.0套定额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_Toc3935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9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_Toc5341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4"/>
              <w:lang w:val="en-US" w:eastAsia="zh-CN"/>
            </w:rPr>
            <w:t>二、 导出招标控制价文件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_Toc5341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9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_Toc30531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  <w:lang w:val="en-US" w:eastAsia="zh-CN"/>
            </w:rPr>
            <w:t>心得体会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_Toc30531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10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_Toc25246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  <w:lang w:val="en-US" w:eastAsia="zh-CN"/>
            </w:rPr>
            <w:t>附  录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_Toc25246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12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_Toc26456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参考文献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_Toc26456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13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instrText xml:space="preserve"> HYPERLINK \l _Toc18813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  <w:lang w:val="en-US" w:eastAsia="zh-CN"/>
            </w:rPr>
            <w:t>致谢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instrText xml:space="preserve"> PAGEREF _Toc18813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t>14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36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48"/>
              <w:lang w:val="en-US" w:eastAsia="zh-CN"/>
            </w:rPr>
            <w:fldChar w:fldCharType="end"/>
          </w:r>
        </w:p>
        <w:p>
          <w:pPr>
            <w:bidi w:val="0"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/>
              <w:lang w:val="en-US" w:eastAsia="zh-CN"/>
            </w:rPr>
          </w:pPr>
          <w:r>
            <w:rPr>
              <w:rFonts w:hint="eastAsia" w:asciiTheme="minorEastAsia" w:hAnsiTheme="minorEastAsia" w:eastAsiaTheme="minorEastAsia" w:cstheme="minorEastAsia"/>
              <w:sz w:val="40"/>
              <w:szCs w:val="48"/>
              <w:lang w:val="en-US" w:eastAsia="zh-CN"/>
            </w:rPr>
            <w:fldChar w:fldCharType="end"/>
          </w:r>
        </w:p>
      </w:sdtContent>
    </w:sdt>
    <w:p>
      <w:pPr>
        <w:bidi w:val="0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 xml:space="preserve"> </w:t>
      </w:r>
    </w:p>
    <w:p>
      <w:pPr>
        <w:pStyle w:val="2"/>
        <w:bidi w:val="0"/>
        <w:jc w:val="center"/>
        <w:rPr>
          <w:rFonts w:hint="eastAsia"/>
          <w:lang w:val="en-US" w:eastAsia="zh-CN"/>
        </w:rPr>
      </w:pPr>
      <w:bookmarkStart w:id="4" w:name="_Toc24739"/>
      <w:r>
        <w:rPr>
          <w:rFonts w:hint="eastAsia"/>
          <w:lang w:val="en-US" w:eastAsia="zh-CN"/>
        </w:rPr>
        <w:t>前言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建筑工程预算作为工程造价的核心环节，是项目投资决策、招投标报价、施工成本控制及竣工结算的重要依据。在当前建筑业数字化转型与“双碳”目标推进的背景下，工程预算编制的准确性、时效性与精细化程度直接影响项目经济效益与资源配置效率。然而，传统预算编制中常存在工程量计算误差、定额套用偏差、人材机管理等价格动态调整的问题，尤其在复杂结构或新型建筑，例如装配式、绿色建筑中，预算不精确可能导致项目超出概算风险。因此，基于现行计价规范与工程实操的预算书编制研究，不仅能为项目成本管控提供精准数据支撑，更能通过数字化工具与新型计价模式的融合应用，推动预算编制向“动态化、可视化、智能化”转型，具有显著的工程实践与行业创新价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本研究以办公楼建筑工程实例，通过完整的预算书编制过程，实现理论与专业相结合、工程预算实操能力的构建、套用清单定额的判断能力为目的，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分为四个章节来编写，分析了本项目的预算结果。</w:t>
      </w:r>
    </w:p>
    <w:p>
      <w:pPr>
        <w:bidi w:val="0"/>
        <w:rPr>
          <w:rFonts w:hint="default" w:asciiTheme="minorEastAsia" w:hAnsiTheme="minorEastAsia" w:eastAsiaTheme="minorEastAsia" w:cstheme="minorEastAsia"/>
          <w:sz w:val="24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2"/>
        <w:bidi w:val="0"/>
        <w:jc w:val="center"/>
        <w:outlineLvl w:val="0"/>
        <w:rPr>
          <w:rFonts w:hint="default"/>
          <w:b/>
          <w:lang w:val="en-US" w:eastAsia="zh-CN"/>
        </w:rPr>
      </w:pPr>
      <w:bookmarkStart w:id="5" w:name="_Toc21389"/>
      <w:r>
        <w:rPr>
          <w:rFonts w:hint="eastAsia"/>
          <w:b/>
          <w:lang w:val="en-US" w:eastAsia="zh-CN"/>
        </w:rPr>
        <w:t>第一章 建筑工程预算书编制理论基础</w:t>
      </w:r>
      <w:bookmarkEnd w:id="5"/>
    </w:p>
    <w:p>
      <w:pPr>
        <w:outlineLvl w:val="1"/>
        <w:rPr>
          <w:rFonts w:hint="default" w:asciiTheme="minorEastAsia" w:hAnsiTheme="minorEastAsia" w:eastAsiaTheme="minorEastAsia" w:cstheme="minorEastAsia"/>
          <w:sz w:val="24"/>
          <w:szCs w:val="32"/>
          <w:lang w:val="en-US" w:eastAsia="zh-CN"/>
        </w:rPr>
      </w:pPr>
      <w:bookmarkStart w:id="6" w:name="_Toc15102"/>
      <w:r>
        <w:rPr>
          <w:rFonts w:hint="eastAsia"/>
          <w:sz w:val="24"/>
          <w:szCs w:val="32"/>
          <w:lang w:val="en-US" w:eastAsia="zh-CN"/>
        </w:rPr>
        <w:t>一、预算编制相关规范与标准</w:t>
      </w:r>
      <w:bookmarkEnd w:id="6"/>
    </w:p>
    <w:p>
      <w:pPr>
        <w:numPr>
          <w:ilvl w:val="0"/>
          <w:numId w:val="1"/>
        </w:numPr>
        <w:ind w:firstLine="480" w:firstLineChars="200"/>
        <w:outlineLvl w:val="9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>设计资料及图纸；</w:t>
      </w:r>
    </w:p>
    <w:p>
      <w:pPr>
        <w:numPr>
          <w:ilvl w:val="0"/>
          <w:numId w:val="1"/>
        </w:numPr>
        <w:ind w:firstLine="480" w:firstLineChars="200"/>
        <w:outlineLvl w:val="9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>《建筑与装饰装修工程计量与计价》教材；</w:t>
      </w:r>
    </w:p>
    <w:p>
      <w:pPr>
        <w:numPr>
          <w:ilvl w:val="0"/>
          <w:numId w:val="1"/>
        </w:numPr>
        <w:ind w:firstLine="480" w:firstLineChars="200"/>
        <w:outlineLvl w:val="9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>《广东省建筑与装饰工程综合定额2018》（上、中、下册） ；</w:t>
      </w:r>
    </w:p>
    <w:p>
      <w:pPr>
        <w:numPr>
          <w:ilvl w:val="0"/>
          <w:numId w:val="1"/>
        </w:numPr>
        <w:ind w:firstLine="480" w:firstLineChars="200"/>
        <w:outlineLvl w:val="9"/>
        <w:rPr>
          <w:rFonts w:hint="eastAsia" w:ascii="Arial" w:hAnsi="Arial" w:cs="Times New Roman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>《房屋建筑与装饰工程工程量计算规范GB 50854-2013》。</w:t>
      </w:r>
    </w:p>
    <w:p>
      <w:pPr>
        <w:bidi w:val="0"/>
      </w:pPr>
      <w:r>
        <w:drawing>
          <wp:inline distT="0" distB="0" distL="114300" distR="114300">
            <wp:extent cx="5273675" cy="1704340"/>
            <wp:effectExtent l="0" t="0" r="3175" b="63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</w:p>
    <w:p>
      <w:pPr>
        <w:numPr>
          <w:ilvl w:val="0"/>
          <w:numId w:val="2"/>
        </w:numPr>
        <w:outlineLvl w:val="1"/>
        <w:rPr>
          <w:rFonts w:hint="eastAsia"/>
          <w:sz w:val="24"/>
          <w:szCs w:val="32"/>
          <w:lang w:val="en-US" w:eastAsia="zh-CN"/>
        </w:rPr>
      </w:pPr>
      <w:bookmarkStart w:id="7" w:name="_Toc21074"/>
      <w:r>
        <w:rPr>
          <w:rFonts w:hint="eastAsia"/>
          <w:sz w:val="24"/>
          <w:szCs w:val="32"/>
          <w:lang w:val="en-US" w:eastAsia="zh-CN"/>
        </w:rPr>
        <w:t>清单计价与定额计价区别</w:t>
      </w:r>
      <w:bookmarkEnd w:id="7"/>
    </w:p>
    <w:p>
      <w:pPr>
        <w:numPr>
          <w:ilvl w:val="0"/>
          <w:numId w:val="0"/>
        </w:num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1.工程计算规则对比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定额计价考虑施工方法和损耗，例如土方计算需包含工作面、放坡增量，混凝土模板按接触面积计算；清单计价按设计图示净量计算，损耗纳入综合单价。例如，土方按垫层底面积乘以深度，模板工程量含超高增加量需单独列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/>
          <w:sz w:val="24"/>
          <w:szCs w:val="32"/>
          <w:lang w:val="en-US" w:eastAsia="zh-CN"/>
        </w:rPr>
        <w:t>广东省2018定额与清单计价法的本质区别在于政府指导价与市场竞争价的对立。定额计价适用于标准化项目和前期估算，强调统一性；清单计价则通过综合单价实现风险分担，更适应市场化需求。在实际应用中，两者可结合使用</w:t>
      </w:r>
      <w:r>
        <w:rPr>
          <w:rFonts w:hint="eastAsia"/>
          <w:sz w:val="24"/>
          <w:szCs w:val="32"/>
          <w:lang w:val="en-US" w:eastAsia="zh-CN"/>
        </w:rPr>
        <w:t>，</w:t>
      </w:r>
      <w:r>
        <w:rPr>
          <w:rFonts w:hint="default"/>
          <w:sz w:val="24"/>
          <w:szCs w:val="32"/>
          <w:lang w:val="en-US" w:eastAsia="zh-CN"/>
        </w:rPr>
        <w:t>但需注意广东省地方规定对计价程序、费用构成的特殊要求</w:t>
      </w:r>
      <w:r>
        <w:rPr>
          <w:rFonts w:hint="eastAsia"/>
          <w:sz w:val="24"/>
          <w:szCs w:val="32"/>
          <w:lang w:val="en-US" w:eastAsia="zh-CN"/>
        </w:rPr>
        <w:t>。</w:t>
      </w:r>
    </w:p>
    <w:p>
      <w:pPr>
        <w:pStyle w:val="2"/>
        <w:numPr>
          <w:ilvl w:val="0"/>
          <w:numId w:val="3"/>
        </w:numPr>
        <w:bidi w:val="0"/>
        <w:jc w:val="center"/>
        <w:rPr>
          <w:rFonts w:hint="eastAsia"/>
          <w:lang w:val="en-US" w:eastAsia="zh-CN"/>
        </w:rPr>
      </w:pPr>
      <w:bookmarkStart w:id="8" w:name="_Toc14544"/>
      <w:r>
        <w:rPr>
          <w:rFonts w:hint="eastAsia"/>
          <w:lang w:val="en-US" w:eastAsia="zh-CN"/>
        </w:rPr>
        <w:t>工程概况与预算书编制准备</w:t>
      </w:r>
      <w:bookmarkEnd w:id="8"/>
    </w:p>
    <w:p>
      <w:pPr>
        <w:numPr>
          <w:ilvl w:val="0"/>
          <w:numId w:val="4"/>
        </w:numPr>
        <w:outlineLvl w:val="1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bookmarkStart w:id="9" w:name="_Toc32658"/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本工程项目的基本信息</w:t>
      </w:r>
      <w:bookmarkEnd w:id="9"/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1.建设单位：某公司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2.建筑名称：某办公楼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3.建设地点：某工业园区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4.主要功能：办公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5.本工程基底建筑面积：697平方米；建筑面积：2093.1 平方米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6.本建筑物地上三层，主要结构类型为混凝土框架结构。</w:t>
      </w:r>
    </w:p>
    <w:p>
      <w:pPr>
        <w:numPr>
          <w:ilvl w:val="0"/>
          <w:numId w:val="0"/>
        </w:num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7度抗震设防裂度，50年设计使用寿命。</w:t>
      </w:r>
    </w:p>
    <w:p>
      <w:pPr>
        <w:numPr>
          <w:ilvl w:val="0"/>
          <w:numId w:val="0"/>
        </w:num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抗震设防裂度为七度、设计使用年限 50年。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7.建筑重要性等级二级、建筑物耐火等级为二级。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8.室内外高差为0.45m。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9.本建筑物建筑高度为 13.200 m 。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10.本工程标高以m为单位，其它尺寸以mm为单位。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</w:p>
    <w:p>
      <w:pPr>
        <w:numPr>
          <w:ilvl w:val="0"/>
          <w:numId w:val="4"/>
        </w:numPr>
        <w:outlineLvl w:val="1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bookmarkStart w:id="10" w:name="_Toc32139"/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取费费率标准</w:t>
      </w:r>
      <w:bookmarkEnd w:id="10"/>
    </w:p>
    <w:p>
      <w:pPr>
        <w:ind w:firstLine="480" w:firstLineChars="200"/>
        <w:outlineLvl w:val="9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>根据工程所在地的相关文件规定，本工程的取费费率标准已经明确如下：</w:t>
      </w:r>
    </w:p>
    <w:p>
      <w:pPr>
        <w:numPr>
          <w:ilvl w:val="0"/>
          <w:numId w:val="5"/>
        </w:numPr>
        <w:ind w:firstLine="480" w:firstLineChars="200"/>
        <w:outlineLvl w:val="9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 xml:space="preserve">计税方式：增值税； </w:t>
      </w:r>
    </w:p>
    <w:p>
      <w:pPr>
        <w:numPr>
          <w:ilvl w:val="0"/>
          <w:numId w:val="5"/>
        </w:numPr>
        <w:ind w:firstLine="480" w:firstLineChars="200"/>
        <w:outlineLvl w:val="9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>税金：按9%计取；</w:t>
      </w:r>
    </w:p>
    <w:p>
      <w:pPr>
        <w:numPr>
          <w:ilvl w:val="0"/>
          <w:numId w:val="5"/>
        </w:numPr>
        <w:ind w:firstLine="480" w:firstLineChars="200"/>
        <w:outlineLvl w:val="9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>预算包干费：按7%计取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5"/>
        </w:numPr>
        <w:ind w:left="0" w:leftChars="0" w:firstLine="480" w:firstLineChars="2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>利润按20%计取，地区类别为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>类。</w:t>
      </w:r>
    </w:p>
    <w:p>
      <w:pPr>
        <w:numPr>
          <w:ilvl w:val="0"/>
          <w:numId w:val="0"/>
        </w:numPr>
        <w:ind w:leftChars="2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val="en-US" w:eastAsia="zh"/>
        </w:rPr>
        <w:t xml:space="preserve"> </w:t>
      </w:r>
    </w:p>
    <w:p>
      <w:pPr>
        <w:numPr>
          <w:ilvl w:val="0"/>
          <w:numId w:val="0"/>
        </w:numPr>
        <w:outlineLvl w:val="1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bookmarkStart w:id="11" w:name="_Toc2583"/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三、广联达土建建模前期准备</w:t>
      </w:r>
      <w:bookmarkEnd w:id="11"/>
    </w:p>
    <w:p>
      <w:pPr>
        <w:numPr>
          <w:ilvl w:val="0"/>
          <w:numId w:val="0"/>
        </w:num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广联达土建建模步骤主要包括新建工程、工程设置、计算设置、建立轴网、主体结构建模、装修建模、基础建模、零星建模和其他建模等步骤。以下是具体步骤:</w:t>
      </w:r>
    </w:p>
    <w:p>
      <w:pPr>
        <w:numPr>
          <w:ilvl w:val="0"/>
          <w:numId w:val="6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新建工程：输入工程名称，选择计算规则，图集选用和钢筋计算规则见结构说明。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5264785" cy="3845560"/>
            <wp:effectExtent l="0" t="0" r="2540" b="254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84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工程设置：楼层设置添加各楼层（基础层、首层、第二层、第三层、屋顶层），输入层高、板厚、混凝土强度、保护层厚度等参数。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5262245" cy="2600325"/>
            <wp:effectExtent l="0" t="0" r="5080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3.计算参数配置与轴网创建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（1）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计算参数配置：依据结构总说明要求，对梁的计算设置进行调整。在主次梁相交部位，于主梁内次梁两侧按图示各增设3道箍筋，箍筋间距设为50mm，其直径规格与主梁箍筋保持一致。</w:t>
      </w:r>
    </w:p>
    <w:p>
      <w:pPr>
        <w:numPr>
          <w:ilvl w:val="0"/>
          <w:numId w:val="0"/>
        </w:numPr>
        <w:ind w:firstLine="240" w:firstLineChars="10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（2）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轴网创建：执行轴网新建操作，选择创建正交轴网类型，依次输入下开间、左进深、上开间及右进深的相关参数值 。同时需要注意上下左右的轴网是否有隐藏。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最后，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检查轴网的准确性，确保轴网的尺寸、角度等符合图纸要求。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5261610" cy="2494915"/>
            <wp:effectExtent l="0" t="0" r="5715" b="63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9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基础建模：模型按照从下往上的顺序来进行建立，先把软件切换到基础层，点击基础平面图，导航栏里点选基础——独立基础——新建独立基础——新建参数化独立基础——新建矩形独立基础单元，输入图纸中的独立基础，将每一个独立基础的高度、长度、宽度、钢筋信息、混凝土等级。运用软件的智能布置来布置独立基础。建立完独立基础后，从基础剖面图看到，独立基础底还有100mm混凝土垫层，导航栏里点选基础——垫层——新建垫层，选择智能布置垫层。</w:t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5261610" cy="2270760"/>
            <wp:effectExtent l="0" t="0" r="0" b="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rcRect t="15193" b="806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6.模拟框架柱结构：选择相应的高度下的柱平面布局图，在导航栏中挑选柱子，在建设列表中点击新创建矩形柱子，并将柱子的名字改为图纸上对应的名称，修改纵向筋和箍筋信息。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7.内外墙体建模：±0.00 以下墙体：普通机制砖。±0.00 以上墙体：采用普通机制砖，内墙200厚轴线居中，特殊注明者除外。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8.零星建模：楼梯、飘窗、台阶、散水。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9.其他建模：楼层复制。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10.</w:t>
      </w:r>
      <w:r>
        <w:rPr>
          <w:rFonts w:hint="eastAsia"/>
          <w:sz w:val="24"/>
          <w:szCs w:val="32"/>
          <w:lang w:val="en-US" w:eastAsia="zh-CN"/>
        </w:rPr>
        <w:t>点击工程量合法性检查，查看是否有错误并进行修正。</w:t>
      </w:r>
    </w:p>
    <w:p>
      <w:pPr>
        <w:pStyle w:val="2"/>
        <w:bidi w:val="0"/>
        <w:jc w:val="center"/>
        <w:rPr>
          <w:rFonts w:hint="default"/>
          <w:sz w:val="24"/>
          <w:szCs w:val="32"/>
          <w:lang w:val="en-US" w:eastAsia="zh-CN"/>
        </w:rPr>
      </w:pPr>
      <w:bookmarkStart w:id="12" w:name="_Toc6525"/>
      <w:r>
        <w:rPr>
          <w:rFonts w:hint="eastAsia"/>
          <w:lang w:val="en-US" w:eastAsia="zh-CN"/>
        </w:rPr>
        <w:t>第三章 工程量计算与清单编制</w:t>
      </w:r>
      <w:bookmarkEnd w:id="12"/>
    </w:p>
    <w:p>
      <w:pPr>
        <w:numPr>
          <w:ilvl w:val="0"/>
          <w:numId w:val="7"/>
        </w:numPr>
        <w:outlineLvl w:val="1"/>
        <w:rPr>
          <w:rFonts w:hint="default"/>
          <w:sz w:val="24"/>
          <w:szCs w:val="32"/>
          <w:lang w:val="en-US" w:eastAsia="zh-CN"/>
        </w:rPr>
      </w:pPr>
      <w:bookmarkStart w:id="13" w:name="_Toc13021"/>
      <w:r>
        <w:rPr>
          <w:rFonts w:hint="eastAsia"/>
          <w:sz w:val="24"/>
          <w:szCs w:val="32"/>
          <w:lang w:val="en-US" w:eastAsia="zh-CN"/>
        </w:rPr>
        <w:t>清单的套用</w:t>
      </w:r>
      <w:bookmarkEnd w:id="13"/>
    </w:p>
    <w:p>
      <w:pPr>
        <w:numPr>
          <w:ilvl w:val="0"/>
          <w:numId w:val="0"/>
        </w:numPr>
        <w:ind w:firstLine="480" w:firstLineChars="200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套用清单，</w:t>
      </w:r>
      <w:r>
        <w:rPr>
          <w:rFonts w:hint="default"/>
          <w:sz w:val="24"/>
          <w:szCs w:val="32"/>
          <w:lang w:val="en-US" w:eastAsia="zh-CN"/>
        </w:rPr>
        <w:t>在绘图界面双击构件名称，进入做法套用界面，点击</w:t>
      </w:r>
      <w:r>
        <w:rPr>
          <w:rFonts w:hint="eastAsia"/>
          <w:sz w:val="24"/>
          <w:szCs w:val="32"/>
          <w:lang w:val="en-US" w:eastAsia="zh-CN"/>
        </w:rPr>
        <w:t>“</w:t>
      </w:r>
      <w:r>
        <w:rPr>
          <w:rFonts w:hint="default"/>
          <w:sz w:val="24"/>
          <w:szCs w:val="32"/>
          <w:lang w:val="en-US" w:eastAsia="zh-CN"/>
        </w:rPr>
        <w:t>查询清单</w:t>
      </w:r>
      <w:r>
        <w:rPr>
          <w:rFonts w:hint="eastAsia"/>
          <w:sz w:val="24"/>
          <w:szCs w:val="32"/>
          <w:lang w:val="en-US" w:eastAsia="zh-CN"/>
        </w:rPr>
        <w:t>”，</w:t>
      </w:r>
      <w:r>
        <w:rPr>
          <w:rFonts w:hint="default"/>
          <w:sz w:val="24"/>
          <w:szCs w:val="32"/>
          <w:lang w:val="en-US" w:eastAsia="zh-CN"/>
        </w:rPr>
        <w:t>选择对应项目</w:t>
      </w:r>
      <w:r>
        <w:rPr>
          <w:rFonts w:hint="eastAsia"/>
          <w:sz w:val="24"/>
          <w:szCs w:val="32"/>
          <w:lang w:val="en-US" w:eastAsia="zh-CN"/>
        </w:rPr>
        <w:t>，</w:t>
      </w:r>
      <w:r>
        <w:rPr>
          <w:rFonts w:hint="default"/>
          <w:sz w:val="24"/>
          <w:szCs w:val="32"/>
          <w:lang w:val="en-US" w:eastAsia="zh-CN"/>
        </w:rPr>
        <w:t>同类构件可通过</w:t>
      </w:r>
      <w:r>
        <w:rPr>
          <w:rFonts w:hint="eastAsia"/>
          <w:sz w:val="24"/>
          <w:szCs w:val="32"/>
          <w:lang w:val="en-US" w:eastAsia="zh-CN"/>
        </w:rPr>
        <w:t>“</w:t>
      </w:r>
      <w:r>
        <w:rPr>
          <w:rFonts w:hint="default"/>
          <w:sz w:val="24"/>
          <w:szCs w:val="32"/>
          <w:lang w:val="en-US" w:eastAsia="zh-CN"/>
        </w:rPr>
        <w:t>做法刷</w:t>
      </w:r>
      <w:r>
        <w:rPr>
          <w:rFonts w:hint="eastAsia"/>
          <w:sz w:val="24"/>
          <w:szCs w:val="32"/>
          <w:lang w:val="en-US" w:eastAsia="zh-CN"/>
        </w:rPr>
        <w:t>”</w:t>
      </w:r>
      <w:r>
        <w:rPr>
          <w:rFonts w:hint="default"/>
          <w:sz w:val="24"/>
          <w:szCs w:val="32"/>
          <w:lang w:val="en-US" w:eastAsia="zh-CN"/>
        </w:rPr>
        <w:t>快速复制清单。选中清单项后，使用</w:t>
      </w:r>
      <w:r>
        <w:rPr>
          <w:rFonts w:hint="eastAsia"/>
          <w:sz w:val="24"/>
          <w:szCs w:val="32"/>
          <w:lang w:val="en-US" w:eastAsia="zh-CN"/>
        </w:rPr>
        <w:t>“</w:t>
      </w:r>
      <w:r>
        <w:rPr>
          <w:rFonts w:hint="default"/>
          <w:sz w:val="24"/>
          <w:szCs w:val="32"/>
          <w:lang w:val="en-US" w:eastAsia="zh-CN"/>
        </w:rPr>
        <w:t>清单指引</w:t>
      </w:r>
      <w:r>
        <w:rPr>
          <w:rFonts w:hint="eastAsia"/>
          <w:sz w:val="24"/>
          <w:szCs w:val="32"/>
          <w:lang w:val="en-US" w:eastAsia="zh-CN"/>
        </w:rPr>
        <w:t>”</w:t>
      </w:r>
      <w:r>
        <w:rPr>
          <w:rFonts w:hint="default"/>
          <w:sz w:val="24"/>
          <w:szCs w:val="32"/>
          <w:lang w:val="en-US" w:eastAsia="zh-CN"/>
        </w:rPr>
        <w:t>功能自动匹配定额子目，减少手动查找时间。​</w:t>
      </w:r>
    </w:p>
    <w:p>
      <w:pPr>
        <w:numPr>
          <w:ilvl w:val="0"/>
          <w:numId w:val="0"/>
        </w:numPr>
        <w:ind w:firstLine="480" w:firstLineChars="200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项目特征填写</w:t>
      </w:r>
      <w:r>
        <w:rPr>
          <w:rFonts w:hint="eastAsia"/>
          <w:sz w:val="24"/>
          <w:szCs w:val="32"/>
          <w:lang w:val="en-US" w:eastAsia="zh-CN"/>
        </w:rPr>
        <w:t>，</w:t>
      </w:r>
      <w:r>
        <w:rPr>
          <w:rFonts w:hint="default"/>
          <w:sz w:val="24"/>
          <w:szCs w:val="32"/>
          <w:lang w:val="en-US" w:eastAsia="zh-CN"/>
        </w:rPr>
        <w:t>点击</w:t>
      </w:r>
      <w:r>
        <w:rPr>
          <w:rFonts w:hint="eastAsia"/>
          <w:sz w:val="24"/>
          <w:szCs w:val="32"/>
          <w:lang w:val="en-US" w:eastAsia="zh-CN"/>
        </w:rPr>
        <w:t>“</w:t>
      </w:r>
      <w:r>
        <w:rPr>
          <w:rFonts w:hint="default"/>
          <w:sz w:val="24"/>
          <w:szCs w:val="32"/>
          <w:lang w:val="en-US" w:eastAsia="zh-CN"/>
        </w:rPr>
        <w:t>特征及内容</w:t>
      </w:r>
      <w:r>
        <w:rPr>
          <w:rFonts w:hint="eastAsia"/>
          <w:sz w:val="24"/>
          <w:szCs w:val="32"/>
          <w:lang w:val="en-US" w:eastAsia="zh-CN"/>
        </w:rPr>
        <w:t>”</w:t>
      </w:r>
      <w:r>
        <w:rPr>
          <w:rFonts w:hint="default"/>
          <w:sz w:val="24"/>
          <w:szCs w:val="32"/>
          <w:lang w:val="en-US" w:eastAsia="zh-CN"/>
        </w:rPr>
        <w:t>按钮，逐项录入项目特征包含材质、工艺、规格等核心要素，避免结算争议。</w:t>
      </w:r>
    </w:p>
    <w:p>
      <w:pPr>
        <w:numPr>
          <w:ilvl w:val="0"/>
          <w:numId w:val="0"/>
        </w:numPr>
        <w:ind w:firstLine="480" w:firstLineChars="200"/>
        <w:rPr>
          <w:rFonts w:hint="default"/>
          <w:sz w:val="24"/>
          <w:szCs w:val="32"/>
          <w:lang w:val="en-US" w:eastAsia="zh-CN"/>
        </w:rPr>
      </w:pPr>
    </w:p>
    <w:p>
      <w:pPr>
        <w:numPr>
          <w:ilvl w:val="0"/>
          <w:numId w:val="7"/>
        </w:numPr>
        <w:outlineLvl w:val="1"/>
        <w:rPr>
          <w:rFonts w:hint="default"/>
          <w:sz w:val="24"/>
          <w:szCs w:val="32"/>
          <w:lang w:val="en-US" w:eastAsia="zh-CN"/>
        </w:rPr>
      </w:pPr>
      <w:bookmarkStart w:id="14" w:name="_Toc7157"/>
      <w:r>
        <w:rPr>
          <w:rFonts w:hint="eastAsia"/>
          <w:sz w:val="24"/>
          <w:szCs w:val="32"/>
          <w:lang w:val="en-US" w:eastAsia="zh-CN"/>
        </w:rPr>
        <w:t>工程量汇总计算</w:t>
      </w:r>
      <w:bookmarkEnd w:id="14"/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完成以上全部的建模和清单的套用，便可点击工程量汇总计算。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可以导出的文件包括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但不限于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工程量报表、三维模型文件、图纸文件等。根据需要，可以将成果文件进行打印或保存为电子文档，以便后续使用。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267325" cy="3329305"/>
            <wp:effectExtent l="0" t="0" r="0" b="444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3"/>
        </w:numPr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bookmarkStart w:id="15" w:name="_Toc23858"/>
      <w:r>
        <w:rPr>
          <w:rFonts w:hint="eastAsia"/>
          <w:lang w:val="en-US" w:eastAsia="zh-CN"/>
        </w:rPr>
        <w:t>套用定额并编制招标控制价</w:t>
      </w:r>
      <w:bookmarkEnd w:id="15"/>
    </w:p>
    <w:p>
      <w:pPr>
        <w:numPr>
          <w:ilvl w:val="0"/>
          <w:numId w:val="8"/>
        </w:numPr>
        <w:outlineLvl w:val="1"/>
        <w:rPr>
          <w:rFonts w:hint="eastAsia"/>
          <w:sz w:val="24"/>
          <w:szCs w:val="32"/>
          <w:lang w:val="en-US" w:eastAsia="zh-CN"/>
        </w:rPr>
      </w:pPr>
      <w:bookmarkStart w:id="16" w:name="_Toc3935"/>
      <w:r>
        <w:rPr>
          <w:rFonts w:hint="eastAsia"/>
          <w:sz w:val="24"/>
          <w:szCs w:val="32"/>
          <w:lang w:val="en-US" w:eastAsia="zh-CN"/>
        </w:rPr>
        <w:t>使用广联达云计价GCCP6.0套定额</w:t>
      </w:r>
      <w:bookmarkEnd w:id="16"/>
    </w:p>
    <w:p>
      <w:pPr>
        <w:numPr>
          <w:ilvl w:val="0"/>
          <w:numId w:val="0"/>
        </w:numPr>
        <w:ind w:firstLine="480" w:firstLineChars="200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进入云计价软件后，选择新建预算、招标项目，填写好项目信息，导入GTJ2021工程量，需确保GTJ2021已完成汇总计算并保存报表，在GCCP6.0中通过“量价一体化”→“导入算量文件”功能实现数据互通，同时重点核对清单编码、项目特征与工程量是否匹配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32"/>
          <w:lang w:val="en-US" w:eastAsia="zh-CN"/>
        </w:rPr>
      </w:pPr>
    </w:p>
    <w:p>
      <w:pPr>
        <w:numPr>
          <w:ilvl w:val="0"/>
          <w:numId w:val="8"/>
        </w:numPr>
        <w:outlineLvl w:val="1"/>
        <w:rPr>
          <w:rFonts w:hint="default"/>
          <w:sz w:val="24"/>
          <w:szCs w:val="32"/>
          <w:lang w:val="en-US" w:eastAsia="zh-CN"/>
        </w:rPr>
      </w:pPr>
      <w:bookmarkStart w:id="17" w:name="_Toc5341"/>
      <w:r>
        <w:rPr>
          <w:rFonts w:hint="eastAsia"/>
          <w:sz w:val="24"/>
          <w:szCs w:val="32"/>
          <w:lang w:val="en-US" w:eastAsia="zh-CN"/>
        </w:rPr>
        <w:t>导出招标控制价文件</w:t>
      </w:r>
      <w:bookmarkEnd w:id="17"/>
    </w:p>
    <w:p>
      <w:pPr>
        <w:numPr>
          <w:ilvl w:val="0"/>
          <w:numId w:val="9"/>
        </w:numPr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完成定额的套用后，选择“查看报表”；</w:t>
      </w:r>
    </w:p>
    <w:p>
      <w:pPr>
        <w:numPr>
          <w:ilvl w:val="0"/>
          <w:numId w:val="9"/>
        </w:numPr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编辑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封面：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工程名称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、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编制单位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、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编制日期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；</w:t>
      </w:r>
    </w:p>
    <w:p>
      <w:pPr>
        <w:numPr>
          <w:ilvl w:val="0"/>
          <w:numId w:val="9"/>
        </w:numPr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编辑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说明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：工程概况、编制依据、其他说明事项；</w:t>
      </w:r>
    </w:p>
    <w:p>
      <w:pPr>
        <w:numPr>
          <w:ilvl w:val="0"/>
          <w:numId w:val="9"/>
        </w:numPr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工程量计算表：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分部分项工程划分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计算项目列项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、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备注说明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；</w:t>
      </w:r>
    </w:p>
    <w:p>
      <w:pPr>
        <w:widowControl w:val="0"/>
        <w:numPr>
          <w:ilvl w:val="0"/>
          <w:numId w:val="9"/>
        </w:numPr>
        <w:ind w:left="0" w:leftChars="0" w:firstLine="48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工程量统计汇总，将工程各部分的工程量进行系统梳理与分类统计，具体包括：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（1）分部分项工程量汇总：对各分部分项工程的工程量进行逐一统计并汇总；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（2）措施项目工程量汇总：对各类措施项目涉及的工程量进行归集与统计；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（3）工程量总计：将分部分项工程与措施项目的工程量进行合并计算，得出工程总量。</w:t>
      </w:r>
    </w:p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val="en-US" w:eastAsia="zh-CN"/>
        </w:rPr>
      </w:pPr>
      <w:bookmarkStart w:id="18" w:name="_Toc30531"/>
      <w:r>
        <w:rPr>
          <w:rFonts w:hint="eastAsia"/>
          <w:lang w:val="en-US" w:eastAsia="zh-CN"/>
        </w:rPr>
        <w:t>心得体会</w:t>
      </w:r>
      <w:bookmarkEnd w:id="1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通过编制办公楼项目，总建筑面积达2093.1㎡，办公、生活配套等多类型建筑单体。在项目数字化建设过程中，广联达BIM系列软件通过集成土建、钢筋、等全专业建模体系，构建了三维可视化信息模型，实现了从设计深化到施工管控的全周期数据协同。该技术以参数化建模为核心，支持梁、板、柱、墙等结构构件的快速布置与精准定义，通过构件属性的动态调整，如截面尺寸、混凝土强度等级、材质类型等，确保模型与设计图纸的高度契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在专业模型整合层面，广联达软件通过跨专业数据互通机制，将建筑、结构模型集成于统一平台。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color="auto" w:fill="FFFFFF"/>
        </w:rPr>
        <w:t>在建模过程中，广联达软件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color="auto" w:fill="FFFFFF"/>
          <w:lang w:val="en-US" w:eastAsia="zh-CN"/>
        </w:rPr>
        <w:t>不仅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color="auto" w:fill="FFFFFF"/>
        </w:rPr>
        <w:t>能够自动进行工程量的计算和统计，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color="auto" w:fill="FFFFFF"/>
          <w:lang w:val="en-US" w:eastAsia="zh-CN"/>
        </w:rPr>
        <w:t>还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color="auto" w:fill="FFFFFF"/>
        </w:rPr>
        <w:t>减少了人工计算的误差。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例如，在办公楼建模中，通过轴网定位与楼层关联功能，实现结构柱与建筑墙体的自动扣减。通过模型信息的实时共享，为施工工序优化、材料备料计划提供了数据支撑。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color="auto" w:fill="FFFFFF"/>
          <w:lang w:val="en-US" w:eastAsia="zh-CN"/>
        </w:rPr>
        <w:t>甚至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color="auto" w:fill="FFFFFF"/>
        </w:rPr>
        <w:t>通过精确的三维模型，可以准确地反映工程的实际情况，为工程造价的确定和成本控制提供了可靠的依据。该软件具备强大的碰撞检查功能，能够精准识别各专业间存在的交叉冲突与潜在问题。通过提前预警，有效规避施工阶段的返工损耗，在保障工程质量的同时，显著提升施工进度，助力项目高效推进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诚然，广联达系列软件构建的数字化建模体系犹如一座技术迷宫，其集成的全专业功能矩阵与参数化设计逻辑，对初学者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的我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而言确需投入足量的时间成本与学习精力。尤其是面对复杂节点建模、多专业协同设计等进阶功能时，往往需要经历系统培训与项目实操的双重淬炼，方能突破认知壁垒。从构件参数的生涩调整到复杂节点的精准建模，从清单组价的茫然无措到造价管控的成竹在胸，这一学习曲线恰似匠人雕琢璞玉的过程，每一次参数调试、每一轮模型校验，都是向专业精通迈进的基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然而，当穿越技术迷雾掌握核心逻辑后，软件所释放的生产力价值堪称一场行业革新。其内置的智能布筋、自动扣减、云端组价等功能模块，如同为工程管理装上数字化引擎，使原本繁琐的工程量核算转化为模型数据的实时联动，让多专业碰撞检测从人工预判升级为三维可视化预警。这种从“劳力型作业”到“智慧型管控”的跨越，不仅重构了传统造价工作的流程范式，更让技术人员在复杂工程面前获得游刃有余的掌控力，真正实现以数字技术为工程建设提效赋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通过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该项目实践表明，广联达BIM技术通过多专业模型的集成与参数化设计，打破了传统2D图纸的信息壁垒，使项目参与方能够在三维环境中协同工作。从设计阶段的构件属性调整到施工阶段的碰撞检测，软件以数据驱动的方式提升了工程建设的精细化管理水平，为同类教育建筑的数字化建造提供了可参考的技术范式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pStyle w:val="2"/>
        <w:bidi w:val="0"/>
        <w:jc w:val="center"/>
        <w:rPr>
          <w:rFonts w:hint="eastAsia"/>
          <w:lang w:val="en-US" w:eastAsia="zh-CN"/>
        </w:rPr>
      </w:pPr>
      <w:bookmarkStart w:id="19" w:name="_Toc25246"/>
      <w:bookmarkStart w:id="20" w:name="_Toc27555"/>
      <w:bookmarkStart w:id="21" w:name="_Toc18340"/>
      <w:r>
        <w:rPr>
          <w:rFonts w:hint="eastAsia"/>
          <w:lang w:val="en-US" w:eastAsia="zh-CN"/>
        </w:rPr>
        <w:t>附  录</w:t>
      </w:r>
      <w:bookmarkEnd w:id="19"/>
      <w:bookmarkEnd w:id="20"/>
      <w:bookmarkEnd w:id="21"/>
    </w:p>
    <w:p>
      <w:pPr>
        <w:numPr>
          <w:ilvl w:val="0"/>
          <w:numId w:val="10"/>
        </w:numPr>
        <w:ind w:left="425" w:leftChars="0" w:hanging="425" w:firstLineChars="0"/>
        <w:jc w:val="left"/>
        <w:outlineLvl w:val="9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lang w:val="en-US" w:eastAsia="zh-CN" w:bidi="ar-SA"/>
        </w:rPr>
        <w:t>办公楼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lang w:val="en-US" w:eastAsia="zh" w:bidi="ar-SA"/>
        </w:rPr>
        <w:t>图纸1套</w:t>
      </w:r>
    </w:p>
    <w:p>
      <w:pPr>
        <w:numPr>
          <w:ilvl w:val="0"/>
          <w:numId w:val="10"/>
        </w:numPr>
        <w:ind w:left="425" w:leftChars="0" w:hanging="425" w:firstLineChars="0"/>
        <w:jc w:val="left"/>
        <w:outlineLvl w:val="9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lang w:val="en-US" w:eastAsia="zh-CN" w:bidi="ar-SA"/>
        </w:rPr>
      </w:pPr>
      <w:bookmarkStart w:id="22" w:name="_Toc40282895"/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lang w:val="en-US" w:eastAsia="zh-CN" w:bidi="ar-SA"/>
        </w:rPr>
        <w:t>广联达BIM土建计量建模</w:t>
      </w:r>
      <w:bookmarkEnd w:id="22"/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lang w:val="en-US" w:eastAsia="zh-CN" w:bidi="ar-SA"/>
        </w:rPr>
        <w:t>1份</w:t>
      </w:r>
    </w:p>
    <w:p>
      <w:pPr>
        <w:numPr>
          <w:ilvl w:val="0"/>
          <w:numId w:val="10"/>
        </w:numPr>
        <w:ind w:left="425" w:leftChars="0" w:hanging="425" w:firstLineChars="0"/>
        <w:jc w:val="left"/>
        <w:outlineLvl w:val="9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lang w:val="en-US" w:eastAsia="zh-CN" w:bidi="ar-SA"/>
        </w:rPr>
        <w:sectPr>
          <w:footerReference r:id="rId5" w:type="default"/>
          <w:pgSz w:w="11907" w:h="16840"/>
          <w:pgMar w:top="1440" w:right="1797" w:bottom="1440" w:left="1797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lang w:val="en-US" w:eastAsia="zh-CN" w:bidi="ar-SA"/>
        </w:rPr>
        <w:t>招标控制价文件1份</w:t>
      </w:r>
    </w:p>
    <w:p>
      <w:pPr>
        <w:pStyle w:val="2"/>
        <w:bidi w:val="0"/>
        <w:jc w:val="center"/>
        <w:rPr>
          <w:rFonts w:hint="eastAsia"/>
        </w:rPr>
      </w:pPr>
      <w:bookmarkStart w:id="23" w:name="_Toc26456"/>
      <w:r>
        <w:rPr>
          <w:rFonts w:hint="eastAsia"/>
        </w:rPr>
        <w:t>参考文献</w:t>
      </w:r>
      <w:bookmarkEnd w:id="23"/>
    </w:p>
    <w:p>
      <w:pPr>
        <w:numPr>
          <w:ilvl w:val="0"/>
          <w:numId w:val="11"/>
        </w:numPr>
        <w:outlineLvl w:val="9"/>
        <w:rPr>
          <w:rFonts w:hint="eastAsia" w:asciiTheme="minorEastAsia" w:hAnsiTheme="minorEastAsia" w:eastAsiaTheme="minorEastAsia" w:cstheme="minorEastAsia"/>
          <w:sz w:val="24"/>
          <w:lang w:eastAsia="zh"/>
        </w:rPr>
      </w:pPr>
      <w:r>
        <w:rPr>
          <w:rFonts w:hint="eastAsia" w:asciiTheme="minorEastAsia" w:hAnsiTheme="minorEastAsia" w:eastAsiaTheme="minorEastAsia" w:cstheme="minorEastAsia"/>
          <w:sz w:val="24"/>
          <w:lang w:eastAsia="zh"/>
        </w:rPr>
        <w:t>设计资料及图纸；</w:t>
      </w:r>
    </w:p>
    <w:p>
      <w:pPr>
        <w:outlineLvl w:val="9"/>
        <w:rPr>
          <w:rFonts w:hint="eastAsia" w:asciiTheme="minorEastAsia" w:hAnsiTheme="minorEastAsia" w:eastAsiaTheme="minorEastAsia" w:cstheme="minorEastAsia"/>
          <w:sz w:val="24"/>
          <w:lang w:eastAsia="zh"/>
        </w:rPr>
      </w:pPr>
      <w:r>
        <w:rPr>
          <w:rFonts w:hint="eastAsia" w:asciiTheme="minorEastAsia" w:hAnsiTheme="minorEastAsia" w:eastAsiaTheme="minorEastAsia" w:cstheme="minorEastAsia"/>
          <w:sz w:val="24"/>
          <w:lang w:eastAsia="zh"/>
        </w:rPr>
        <w:t>2、《建筑与装饰装修工程计量与计价》教材；</w:t>
      </w:r>
    </w:p>
    <w:p>
      <w:pPr>
        <w:outlineLvl w:val="9"/>
        <w:rPr>
          <w:rFonts w:hint="eastAsia" w:asciiTheme="minorEastAsia" w:hAnsiTheme="minorEastAsia" w:eastAsiaTheme="minorEastAsia" w:cstheme="minorEastAsia"/>
          <w:sz w:val="24"/>
          <w:lang w:eastAsia="zh"/>
        </w:rPr>
      </w:pPr>
      <w:r>
        <w:rPr>
          <w:rFonts w:hint="eastAsia" w:asciiTheme="minorEastAsia" w:hAnsiTheme="minorEastAsia" w:eastAsiaTheme="minorEastAsia" w:cstheme="minorEastAsia"/>
          <w:sz w:val="24"/>
          <w:lang w:eastAsia="zh"/>
        </w:rPr>
        <w:t>3、《广东省建筑与装饰工程综合定额2018》（上、中、下册）；</w:t>
      </w:r>
    </w:p>
    <w:p>
      <w:pPr>
        <w:outlineLvl w:val="9"/>
        <w:rPr>
          <w:rFonts w:hint="eastAsia" w:asciiTheme="minorEastAsia" w:hAnsiTheme="minorEastAsia" w:eastAsiaTheme="minorEastAsia" w:cstheme="minorEastAsia"/>
          <w:sz w:val="24"/>
          <w:lang w:eastAsia="zh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4"/>
          <w:lang w:eastAsia="zh"/>
        </w:rPr>
        <w:t>4、《房屋建筑与装饰工程工程量计算规范GB 50854-2013》。</w:t>
      </w:r>
    </w:p>
    <w:p>
      <w:pPr>
        <w:pStyle w:val="2"/>
        <w:bidi w:val="0"/>
        <w:jc w:val="center"/>
        <w:rPr>
          <w:rFonts w:hint="eastAsia"/>
          <w:lang w:val="en-US" w:eastAsia="zh-CN"/>
        </w:rPr>
      </w:pPr>
      <w:bookmarkStart w:id="24" w:name="_Toc18813"/>
      <w:r>
        <w:rPr>
          <w:rFonts w:hint="eastAsia"/>
          <w:lang w:val="en-US" w:eastAsia="zh-CN"/>
        </w:rPr>
        <w:t>致谢</w:t>
      </w:r>
      <w:bookmarkEnd w:id="2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在本研究及论文撰写的全过程中，承蒙诸多师长、亲友的关怀相助，值此完稿之际，谨以最诚挚的心意表达深切谢意。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首先，衷心感谢我的指导老师。从选题论证到框架搭建，从模型验证到文字雕琢，老师始终以严谨的学术态度与开阔的思维视野给予循循善诱的指导。您以渊博的学识、严谨的治学态度和精益求精的精神，为我照亮学术之路。每当我陷入困境，您总能耐心倾听并提出建设性意见，引领我走出迷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我也要感谢我的同窗好友们，在我埋首于文献资料和数据时，给予我陪伴与鼓励。我们一起探讨学术问题，分享研究心得，互相汲取灵感与力量。那些一起在图书馆奋战的日子，成为我学术生涯中难忘的回忆。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其次感谢大学时期的辅导员，谢谢大学这三年来对我的照顾，在这三年里是你一直看着我从一个懵懂的孩子长大，在我需要帮助的时候给予了我帮助，很庆幸在这三年里遇见了你，也很庆幸成为你的学生。</w:t>
      </w:r>
      <w:r>
        <w:rPr>
          <w:rFonts w:hint="default"/>
          <w:sz w:val="24"/>
          <w:szCs w:val="32"/>
          <w:lang w:val="en-US" w:eastAsia="zh-CN"/>
        </w:rPr>
        <w:t>家人是我坚实的后盾，始终在背后默默支持我。在我因论文压力而情绪低落时，给予我温暖的安慰和无条件的信任</w:t>
      </w:r>
      <w:r>
        <w:rPr>
          <w:rFonts w:hint="eastAsia"/>
          <w:sz w:val="24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本研究的每一步进展，都凝聚着无数人的智慧与温情。谨以此文献给所有给予我帮助的师长、伙伴与家人，愿这份成果能承载你们的期许，在建筑信息化领域续写出更多可能。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eastAsia" w:ascii="宋体" w:hAnsi="宋体" w:eastAsia="宋体" w:cs="宋体"/>
        <w:sz w:val="21"/>
        <w:szCs w:val="21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 w:ascii="宋体" w:hAnsi="宋体" w:eastAsia="宋体" w:cs="宋体"/>
        <w:sz w:val="21"/>
        <w:szCs w:val="21"/>
        <w:lang w:val="en-US" w:eastAsia="zh-CN"/>
      </w:rPr>
      <w:t>广东创新科技职业学院2026届毕业设计（论文）</w:t>
    </w:r>
  </w:p>
  <w:p>
    <w:pPr>
      <w:pStyle w:val="6"/>
      <w:tabs>
        <w:tab w:val="left" w:pos="3108"/>
        <w:tab w:val="clear" w:pos="4153"/>
      </w:tabs>
      <w:rPr>
        <w:rFonts w:hint="eastAsia" w:eastAsiaTheme="minor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hint="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ZoqY8kBAACbAwAADgAAAGRycy9lMm9Eb2MueG1srVPNjtMwEL6vxDtY&#10;vlNnK4G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lvKHHc4sTPP3+cfz2eH74T&#10;9KFAfYAa8+4CZqbhvR8wefYDOjPvQUWbv8iIYBzlPV3klUMiIj9aLVerCkMCY/MF8dnT8xAhfZDe&#10;kmw0NOL8iqz8+AnSmDqn5GrO32pjygyN+8uBmNnDcu9jj9lKw26YCO18e0I+PY6+oQ43nRLz0aGy&#10;eUtmI87GbjYOIep9V9Yo14Pw7pCwidJbrjDCToVxZoXdtF95Kf68l6ynf2rz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1mipj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hint="eastAsia" w:ascii="宋体" w:hAnsi="宋体" w:eastAsia="宋体" w:cs="宋体"/>
        <w:sz w:val="21"/>
        <w:szCs w:val="21"/>
      </w:rPr>
    </w:pPr>
    <w:r>
      <w:rPr>
        <w:rFonts w:hint="eastAsia" w:ascii="宋体" w:hAnsi="宋体" w:eastAsia="宋体" w:cs="宋体"/>
        <w:sz w:val="21"/>
        <w:szCs w:val="21"/>
        <w:lang w:val="en-US" w:eastAsia="zh-CN"/>
      </w:rPr>
      <w:t>广东创新科技职业学院2026届毕业设计（论文）</w:t>
    </w:r>
  </w:p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8BCD86"/>
    <w:multiLevelType w:val="singleLevel"/>
    <w:tmpl w:val="868BCD86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宋体" w:hAnsi="宋体" w:eastAsia="宋体" w:cs="宋体"/>
        <w:sz w:val="24"/>
        <w:szCs w:val="24"/>
      </w:rPr>
    </w:lvl>
  </w:abstractNum>
  <w:abstractNum w:abstractNumId="1">
    <w:nsid w:val="B0E889B6"/>
    <w:multiLevelType w:val="singleLevel"/>
    <w:tmpl w:val="B0E889B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B5A084A"/>
    <w:multiLevelType w:val="singleLevel"/>
    <w:tmpl w:val="0B5A08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BC4B5B2"/>
    <w:multiLevelType w:val="singleLevel"/>
    <w:tmpl w:val="0BC4B5B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宋体" w:hAnsi="宋体" w:eastAsia="宋体" w:cs="宋体"/>
        <w:sz w:val="24"/>
        <w:szCs w:val="24"/>
      </w:rPr>
    </w:lvl>
  </w:abstractNum>
  <w:abstractNum w:abstractNumId="4">
    <w:nsid w:val="2A3F606B"/>
    <w:multiLevelType w:val="singleLevel"/>
    <w:tmpl w:val="2A3F606B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5">
    <w:nsid w:val="32951213"/>
    <w:multiLevelType w:val="singleLevel"/>
    <w:tmpl w:val="3295121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34123D41"/>
    <w:multiLevelType w:val="singleLevel"/>
    <w:tmpl w:val="34123D41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宋体" w:hAnsi="宋体" w:eastAsia="宋体" w:cs="宋体"/>
        <w:sz w:val="24"/>
        <w:szCs w:val="24"/>
      </w:rPr>
    </w:lvl>
  </w:abstractNum>
  <w:abstractNum w:abstractNumId="7">
    <w:nsid w:val="4E0789F9"/>
    <w:multiLevelType w:val="singleLevel"/>
    <w:tmpl w:val="4E0789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18608FF"/>
    <w:multiLevelType w:val="singleLevel"/>
    <w:tmpl w:val="518608F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632EC4E4"/>
    <w:multiLevelType w:val="singleLevel"/>
    <w:tmpl w:val="632EC4E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6BB3B17B"/>
    <w:multiLevelType w:val="singleLevel"/>
    <w:tmpl w:val="6BB3B17B"/>
    <w:lvl w:ilvl="0" w:tentative="0">
      <w:start w:val="1"/>
      <w:numFmt w:val="decimal"/>
      <w:suff w:val="space"/>
      <w:lvlText w:val="%1、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jZjZjMDE4ZjE0ZTgzOTJmYWM5ZDlhYmQ0OTg1Y2MifQ=="/>
  </w:docVars>
  <w:rsids>
    <w:rsidRoot w:val="4C4A5E19"/>
    <w:rsid w:val="17350453"/>
    <w:rsid w:val="2DCF7901"/>
    <w:rsid w:val="2DDB6A14"/>
    <w:rsid w:val="2FCC4CA9"/>
    <w:rsid w:val="4C4A5E19"/>
    <w:rsid w:val="5E82124F"/>
    <w:rsid w:val="64CC718E"/>
    <w:rsid w:val="69231B8D"/>
    <w:rsid w:val="6A35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4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 w:val="0"/>
      <w:sz w:val="32"/>
    </w:rPr>
  </w:style>
  <w:style w:type="paragraph" w:styleId="5">
    <w:name w:val="heading 3"/>
    <w:basedOn w:val="4"/>
    <w:next w:val="1"/>
    <w:autoRedefine/>
    <w:qFormat/>
    <w:uiPriority w:val="0"/>
    <w:pPr>
      <w:keepNext/>
      <w:keepLines/>
      <w:spacing w:before="260" w:after="260" w:line="416" w:lineRule="auto"/>
      <w:outlineLvl w:val="2"/>
    </w:pPr>
    <w:rPr>
      <w:b w:val="0"/>
      <w:bCs w:val="0"/>
      <w:sz w:val="32"/>
      <w:szCs w:val="32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autoRedefine/>
    <w:qFormat/>
    <w:uiPriority w:val="0"/>
  </w:style>
  <w:style w:type="paragraph" w:styleId="9">
    <w:name w:val="toc 2"/>
    <w:basedOn w:val="1"/>
    <w:next w:val="1"/>
    <w:autoRedefine/>
    <w:qFormat/>
    <w:uiPriority w:val="0"/>
    <w:pPr>
      <w:ind w:left="420" w:leftChars="200"/>
    </w:pPr>
  </w:style>
  <w:style w:type="paragraph" w:styleId="10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标题 1 Char"/>
    <w:link w:val="2"/>
    <w:autoRedefine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2025-06-14T03:55:00Z</dcterms:created>
  <dc:creator>ʚ肇ɞ</dc:creator>
  <cp:lastModifiedBy>ʚɞ</cp:lastModifiedBy>
  <dcterms:modified xsi:type="dcterms:W3CDTF">2026-02-04T14:53:53Z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75B506D32C3A4645AB89B6E032E4268D_11</vt:lpwstr>
  </property>
</Properties>
</file>