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6F87B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录</w:t>
      </w:r>
    </w:p>
    <w:p w14:paraId="25A472C7">
      <w:pPr>
        <w:pStyle w:val="9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TOC \o "1-3" \h \u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_Toc20793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前言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PAGEREF _Toc20793 \h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1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76164363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_Toc16916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第一章：  工程概括与设计依据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708D841B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_Toc7407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1.1工程概括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26CAB65C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_Toc22728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1.2设计范围与内容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70905821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_Toc501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1.3供配电系统设计</w:t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</w:rPr>
        <w:t>﻿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_Toc501 \h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08A42B38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_Toc27252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1.4照明系统设计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3132C0DC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_Toc22101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第二章：  电气工程重要性的主要体现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1CCD436B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_Toc28230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2.1筑牢社会运转的能源基石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6F9CDBF2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_Toc28843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2.2助力产业升级的核心支撑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2798774A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_Toc13315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2.3在工程造价控制中的重要作用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13F30C0F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_Toc20184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第三章：  编制步骤与流程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21FBF517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_Toc17009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3.1</w:t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</w:rPr>
        <w:t>确定项目要求和范围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19618B40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_Toc842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3.2</w:t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</w:rPr>
        <w:t>制定工程量清</w:t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单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31AB95FD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_Toc30210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3.3确定工程标准和要求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6F065425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_Toc9600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3.4确定工程材料和设备价格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1F444D87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_Toc18884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3.5制定人工费用和管理费用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4A7BF24E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_Toc10163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3.6编制预算报价表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40E8A879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_Toc17635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3.7审核和修改预算报价表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40D7FCDF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_Toc17102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3.8发布和应用预算报价表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188D638F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_Toc6472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结论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2B199BA2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_Toc29466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附录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14F05F92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_Toc9236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1.蓝天幼儿园工程图纸一套（6张）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36787343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_Toc4933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2.广联达BIM安装计量建模模型GQI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286F4DCC">
      <w:pPr>
        <w:pStyle w:val="6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_Toc18183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28"/>
          <w:szCs w:val="28"/>
          <w:lang w:val="en-US" w:eastAsia="zh-CN"/>
        </w:rPr>
        <w:t>3.招标控制价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 w14:paraId="4F9EA319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_Toc20655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参考文献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2ADF7EA1">
      <w:pPr>
        <w:pStyle w:val="10"/>
        <w:tabs>
          <w:tab w:val="right" w:leader="dot" w:pos="8306"/>
        </w:tabs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instrText xml:space="preserve"> HYPERLINK \l _Toc2585 </w:instrTex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separate"/>
      </w:r>
      <w:r>
        <w:rPr>
          <w:rFonts w:hint="eastAsia" w:asciiTheme="majorEastAsia" w:hAnsiTheme="majorEastAsia" w:eastAsiaTheme="majorEastAsia" w:cstheme="majorEastAsia"/>
          <w:bCs/>
          <w:sz w:val="30"/>
          <w:szCs w:val="30"/>
          <w:lang w:val="en-US" w:eastAsia="zh-CN"/>
        </w:rPr>
        <w:t>致谢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ab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0</w:t>
      </w:r>
    </w:p>
    <w:p w14:paraId="36A1D245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fldChar w:fldCharType="end"/>
      </w:r>
    </w:p>
    <w:p w14:paraId="68F6283A"/>
    <w:p w14:paraId="0238384A">
      <w:pPr>
        <w:spacing w:line="360" w:lineRule="auto"/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前 言</w:t>
      </w:r>
    </w:p>
    <w:p w14:paraId="36A26A9A">
      <w:pPr>
        <w:pStyle w:val="11"/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  <w:t>在现代建筑工程体系中，电气工程犹如建筑的“神经脉络”，支撑着照明、动力、通信等多元功能的有序运转，其建设质量与成本管控直接关乎建筑整体的实用性与经济性。随着建筑智能化、绿色化的发展浪潮，电气工程的系统复杂度与技术含量持续提升，这对其造价管理工作提出了更为严苛的要求。电气预算书在工程造价管理中占据核心位置，不仅是项目投资决策与资源调配的基石，更在工程招投标、成本核算、进度把控等关键环节发挥着不可替代的作用。</w:t>
      </w:r>
    </w:p>
    <w:p w14:paraId="23F690B5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当前，电气预算编制工作仍面临诸多挑战：设计图纸深度不足、定额标准更新滞后、预算人员专业素养参差不齐等问题，时常导致预算结果与实际施工需求存在偏差，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出现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资金浪费、工期延误等连锁反应。在此背景下，深入探究电气预算书编制的科学方法与优化路径，对于提升工程造价管理的精准性、保障工程建设的经济效益具有重要的现实意义。</w:t>
      </w:r>
    </w:p>
    <w:p w14:paraId="5133B989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次我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以电气预算书编制为研究对象，旨在通过剖析编制流程中的核心要点与常见问题，探寻适配现代电气工程发展的预算编制策略，为相关从业者提供理论参考与实践指引，推动电气工程造价管理体系的不断完善。幼儿园建筑的用电负荷具有其特殊性，如插座回路多、安全要求高、照明环境需柔和舒适等。同时，作为人员密集的公共场所，其消防与应急疏散系统的设计至关重要。</w:t>
      </w:r>
    </w:p>
    <w:p w14:paraId="4148FE5B">
      <w:pPr>
        <w:pStyle w:val="11"/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第一章：工程概括</w:t>
      </w:r>
    </w:p>
    <w:p w14:paraId="2311D3FB">
      <w:pPr>
        <w:pStyle w:val="11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1.1工程概括</w:t>
      </w:r>
    </w:p>
    <w:p w14:paraId="3DAE291A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  <w:t>本项目为“广州市时代天韵幼儿园工程建设项目”，位于广州市境内。建筑主体为地上三层，局部可能包含设备层或阁楼层，建筑总高度约11.7米，属于多层公共建筑。总建筑面积约为3690平方米，其中计容建筑面积约3390平方米。结构形式为钢筋混凝土框架结构。﻿</w:t>
      </w:r>
    </w:p>
    <w:p w14:paraId="0BAFFCF2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  <w:t>建筑功能主要包括幼儿活动单元（含活动室、寝室、卫生间）、多功能活动室、办公室、厨房、门厅及室外活动场地等。作为一所现代化的幼儿园，其电气设计需充分考虑儿童的行为特点和安全需求。﻿</w:t>
      </w:r>
    </w:p>
    <w:p w14:paraId="579BB386">
      <w:pPr>
        <w:pStyle w:val="11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  <w:t>1.2设计范围与内容</w:t>
      </w:r>
    </w:p>
    <w:p w14:paraId="6B9C704D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其设计涵盖红线内全部电气系统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变配电系统包括10/0.4kV变配电所、高低压配电系统。﻿电力配电系动力设备（如风机、水泵、电梯）及普通插座的配电。照明系统室内外一般照明、应急照明及疏散指示系统。</w:t>
      </w:r>
    </w:p>
    <w:p w14:paraId="05E445A1">
      <w:pPr>
        <w:pStyle w:val="11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1.3</w:t>
      </w:r>
      <w:r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  <w:t>供配电系统设计</w:t>
      </w:r>
    </w:p>
    <w:p w14:paraId="66AD9D07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项目由市政电网引入两路独立的10kV电源，采用单母线分段接线方式，中间设联络开关。变配电所设于建筑首层，靠近负荷中心，以减少线路损耗。高压侧采用环网柜，低压侧采用抽屉式开关柜。变压器选用SCB13型及以上能效等级的干式变压器，具有低损耗、低噪音、防火性能好等优点，非常适合幼儿园环境。变压器容量选择为1台400kVA，负载率控制在合理范围内，保证经济运行。﻿低压配电系统采用放射式与树干式相结合的方式。对于容量较大或重要的负荷（如电梯、水泵、风机等），采用放射式供电，由低压配电柜直接配出专用回路。对于照明及普通插座等分散负荷，采用树干式供电，通过封闭式母线槽或预分支电缆引至各楼层配电箱，再由楼层配电箱配出至各用电点。所有消防设备配电回路均设置双电源自动切换装置（ATS），切换时间满足规范要求</w:t>
      </w:r>
      <w:r>
        <w:rPr>
          <w:rStyle w:val="14"/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5042264F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  <w:t>1.4照明系统设计</w:t>
      </w:r>
    </w:p>
    <w:p w14:paraId="60F3D8D3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主要采用高效节能的LED光源，其具有寿命长、光效高、显色性好、无频闪等优点，有利于保护幼儿视力。活动室、办公室等场所选用格栅灯盘或平板灯，以提供均匀柔和的光线，避免眩光。走廊、楼梯间选用吸顶灯。卫生间、厨房等潮湿场所选用防潮防尘灯具。所有灯具的功率因数均不小于0.9。根据消防规范，在疏散走道、楼梯间、前室、配电室、消防控制室等场所设置应急照明和疏散指示标志。﻿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﻿</w:t>
      </w:r>
    </w:p>
    <w:p w14:paraId="1B03AED7">
      <w:pPr>
        <w:pStyle w:val="11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</w:p>
    <w:p w14:paraId="5C0B6938">
      <w:pPr>
        <w:pStyle w:val="11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</w:rPr>
      </w:pPr>
    </w:p>
    <w:p w14:paraId="633BC311">
      <w:pPr>
        <w:pStyle w:val="11"/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第二章：  电气工程重要性的主要体现</w:t>
      </w:r>
    </w:p>
    <w:p w14:paraId="074CB31A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color="auto"/>
          <w:lang w:val="en-US" w:eastAsia="zh-CN"/>
        </w:rPr>
        <w:t>2.1筑牢社会运转的能源基石</w:t>
      </w:r>
    </w:p>
    <w:p w14:paraId="24A4F4AC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从日常家庭的照明、家电运行，到城市公共设施的电梯、交通信号灯运作，再到医院的生命维持设备、通信基站的信号传输，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电气工程所构成的电力网络已渗透至社会生活的每个角落，如同维持现代社会机体活力的‘神经网络’，一旦中断将直接影响从日常生活到关键基础设施的运行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。一旦电力供应中断，不仅会打乱居民生活节奏，更可能威胁到医疗救援、应急通信等关键领域的正常运作。</w:t>
      </w:r>
    </w:p>
    <w:p w14:paraId="7E438B0A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2.2助力产业升级的核心支撑</w:t>
      </w:r>
    </w:p>
    <w:p w14:paraId="3E95AEBC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传统产业转型的技术抓手：在农业领域，电气自动化技术推动了精准农业的发展，通过智能灌溉系统、自动施肥设备等，实现了农业生产的精细化管理，提高了农产品产量和质量；在传统制造业中，电气控制技术的升级改造让老旧生产线焕发生机，生产效率和产品竞争力显著提升。</w:t>
      </w:r>
    </w:p>
    <w:p w14:paraId="0935C5EE">
      <w:pPr>
        <w:spacing w:line="360" w:lineRule="auto"/>
        <w:jc w:val="lef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2.3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在工程造价控制中的重要作用</w:t>
      </w:r>
    </w:p>
    <w:p w14:paraId="7614D887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电气工程在工程造价中占据重要地位，其成本控制直接影响项目整体经济效益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‌。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在建筑工程中，电气工程投资大、工期长、工艺复杂，造价易受多种因素影响，因此有效的成本控制是保障施工单位经济收益的关键环节 。</w:t>
      </w:r>
    </w:p>
    <w:p w14:paraId="6AD3861A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u w:color="auto"/>
          <w:lang w:val="en-US" w:eastAsia="zh-CN"/>
        </w:rPr>
      </w:pPr>
    </w:p>
    <w:p w14:paraId="23BC235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u w:color="auto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B4C7949">
      <w:pPr>
        <w:spacing w:line="360" w:lineRule="auto"/>
        <w:jc w:val="center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第三章：  编制步骤与流程</w:t>
      </w:r>
    </w:p>
    <w:p w14:paraId="4A5FFB31">
      <w:pPr>
        <w:spacing w:line="360" w:lineRule="auto"/>
        <w:jc w:val="lef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3.1</w:t>
      </w:r>
      <w:r>
        <w:rPr>
          <w:rFonts w:hint="eastAsia" w:ascii="黑体" w:hAnsi="黑体" w:eastAsia="黑体" w:cs="黑体"/>
          <w:bCs/>
          <w:sz w:val="28"/>
          <w:szCs w:val="28"/>
        </w:rPr>
        <w:t>确定项目要求和范围</w:t>
      </w:r>
    </w:p>
    <w:p w14:paraId="2AA4CAA6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首先，需全面梳理项目涵盖的各类电气系统，具体包括为建筑提供动力的强电系统（如供配电与照明），承担信息传输与管理的弱电系统（如通信、安防及智能化系统），以及保障安全的防雷接地系统等。确定电气设备参数：变压器、配电柜、电缆、灯具等设备的型号、规格、数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明确施工边界：电气管线敷设路径、与土建/给排水等专业的交叉配合要求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7F22F6DB">
      <w:pPr>
        <w:spacing w:line="360" w:lineRule="auto"/>
        <w:jc w:val="left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3.2</w:t>
      </w:r>
      <w:r>
        <w:rPr>
          <w:rFonts w:hint="eastAsia" w:ascii="黑体" w:hAnsi="黑体" w:eastAsia="黑体" w:cs="黑体"/>
          <w:bCs/>
          <w:sz w:val="30"/>
          <w:szCs w:val="30"/>
        </w:rPr>
        <w:t>制定工程量清</w:t>
      </w: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单</w:t>
      </w:r>
    </w:p>
    <w:p w14:paraId="72E0CB7D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《建筑工程工程量清单计价规范》（GB50500-2013）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编制，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包括了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分部分项工程、措施项目、其他项目清单电气核心清单项目：强电变压器安装、配电柜（箱）安装、电缆敷设、母线安装、照明器具安装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弱电综合布线、安防系统设备安装、智能化系统调试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措施项目电气设备试验、调试、特殊施工措施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01BEB60E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3.3</w:t>
      </w: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确定工程标准和要求</w:t>
      </w:r>
    </w:p>
    <w:p w14:paraId="00D6F6A0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明确技术标准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电气设备绝缘等级、耐压要求、节能标准（如LED照明占比、变频设备应用）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确定验收要求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电气系统试运行、接地电阻测试、消防联动调试等专项验收标准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3D949EA6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3.4确定工程材料和设备价格</w:t>
      </w:r>
    </w:p>
    <w:p w14:paraId="52916E1A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材料价格：电缆、母线、桥架、开关插座等，参考当地造价信息、供应商报价，区分品牌档次（如国标/进口、一线/二线品牌）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设备价格：变压器、配电柜、UPS电源、弱电主机等，结合设备参数、厂家资质、售后服务确定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价格波动应对：对铜价、钢材价等易波动材料，约定价格调整机制（如按旬/月造价信息价差调整）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5A19DAA6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3.5制定人工费用和管理费用</w:t>
      </w:r>
    </w:p>
    <w:p w14:paraId="7F76B53A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人工费用：按电气专业工种（电工、焊工、调试工）确定定额人工单价，或参考市场人工指导价，结合项目工期计算总费用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管理费用：按人工费用的一定比例计取（通常为20%-30%），包含项目管理人员工资、办公费、差旅费等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其他费用：临时设施费、安全文明施工费、规费（社保、公积金等）、税金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0348FB95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3.6编制预算报价表</w:t>
      </w:r>
    </w:p>
    <w:p w14:paraId="35A3222C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按工程量清单逐一计算综合单价：人工费+材料费+机械费+管理费+利润+风险费用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汇总分部分项工程费、措施项目费、其他项目费，形成电气工程总造价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附电气系统示意图、设备材料明细表、价格计算依据等支撑文件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7929381E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3.7审核和修改预算报价表</w:t>
      </w:r>
    </w:p>
    <w:p w14:paraId="166F3A23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重点核查电气设备选型是否符合需求、价格是否合理、有无漏项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根据审核调整报价，补充遗漏项目，优化成本控制方案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17FCD6F1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3.8发布和应用预算报价表</w:t>
      </w:r>
    </w:p>
    <w:p w14:paraId="1EDC9502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将对修改后的预算报价表进行审核、公布和申报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。</w:t>
      </w:r>
    </w:p>
    <w:p w14:paraId="2213E913">
      <w:pPr>
        <w:spacing w:line="360" w:lineRule="auto"/>
        <w:jc w:val="center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结 论</w:t>
      </w:r>
    </w:p>
    <w:p w14:paraId="3519D60A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文详细论述了广州市时代天韵幼儿园电气工程的完整设计过程。设计严格遵循国家规范，充分考虑了幼儿园建筑的特殊性，在供配电、照明、防雷接地、消防及弱电等各个方面均采取了针对性的措施。﻿随着物联网、大数据和人工智能技术的发展，未来的幼儿园电气设计将向更高程度的智慧化方向发展。例如，可以构建基于物联网的智慧能源管理平台，对全园的用电、用水进行实时监测和精细化分析；可以将照明、空调、新风等系统集成，根据室内人员数量、光照强度、CO2浓度等参数自动调节，打造更健康、更节能的室内环境。此外，针对幼儿安全的智能监护系统，如防走失定位、危险区域入侵报警等，也将是未来设计的重要方向。本设计为幼儿园的电气系统奠定了坚实的基础，也为未来的智能化升级预留了充分的空间。﻿</w:t>
      </w:r>
    </w:p>
    <w:p w14:paraId="2B79740D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8EBB103">
      <w:pPr>
        <w:spacing w:line="360" w:lineRule="auto"/>
        <w:jc w:val="left"/>
        <w:rPr>
          <w:rFonts w:hint="eastAsia" w:ascii="黑体" w:hAnsi="黑体" w:eastAsia="宋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ab/>
      </w:r>
    </w:p>
    <w:p w14:paraId="5BDA37CA">
      <w:pPr>
        <w:spacing w:line="360" w:lineRule="auto"/>
        <w:jc w:val="left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</w:p>
    <w:p w14:paraId="1BA59A14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</w:p>
    <w:p w14:paraId="1CC36623">
      <w:pPr>
        <w:spacing w:line="360" w:lineRule="auto"/>
        <w:jc w:val="left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</w:p>
    <w:p w14:paraId="54036A74">
      <w:pPr>
        <w:spacing w:line="360" w:lineRule="auto"/>
        <w:jc w:val="left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</w:p>
    <w:p w14:paraId="2A18209A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</w:p>
    <w:p w14:paraId="52A539CC">
      <w:pPr>
        <w:spacing w:line="360" w:lineRule="auto"/>
        <w:jc w:val="left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7D78D516">
      <w:pPr>
        <w:spacing w:line="360" w:lineRule="auto"/>
        <w:jc w:val="left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</w:p>
    <w:p w14:paraId="13DB1E9F">
      <w:pPr>
        <w:spacing w:line="360" w:lineRule="auto"/>
        <w:jc w:val="left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4E1CD784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u w:color="auto"/>
          <w:lang w:val="en-US" w:eastAsia="zh-CN"/>
        </w:rPr>
      </w:pPr>
    </w:p>
    <w:p w14:paraId="571294B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u w:color="auto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F07693F">
      <w:pPr>
        <w:spacing w:line="360" w:lineRule="auto"/>
        <w:jc w:val="center"/>
        <w:rPr>
          <w:rFonts w:hint="eastAsia" w:ascii="黑体" w:hAnsi="黑体" w:eastAsia="黑体" w:cs="黑体"/>
          <w:sz w:val="30"/>
          <w:szCs w:val="30"/>
          <w:u w:color="auto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u w:color="auto"/>
          <w:lang w:val="en-US" w:eastAsia="zh-CN"/>
        </w:rPr>
        <w:t>附 录</w:t>
      </w:r>
    </w:p>
    <w:p w14:paraId="45D0160F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1.蓝天幼儿园工程图纸一套（6张）</w:t>
      </w:r>
    </w:p>
    <w:p w14:paraId="044EB2E7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2.广联达BIM安装计量建模模型GQI</w:t>
      </w:r>
    </w:p>
    <w:p w14:paraId="3284C848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3.招标控制价</w:t>
      </w:r>
    </w:p>
    <w:p w14:paraId="519EA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eastAsia="zh-CN"/>
        </w:rPr>
        <w:t>①新蓝天幼儿园工程建设项目；</w:t>
      </w:r>
    </w:p>
    <w:p w14:paraId="780C9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eastAsia="zh-CN"/>
        </w:rPr>
        <w:t>②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电气工程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eastAsia="zh-CN"/>
        </w:rPr>
        <w:t>。</w:t>
      </w:r>
    </w:p>
    <w:p w14:paraId="6D497082">
      <w:pPr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参考文献</w:t>
      </w:r>
    </w:p>
    <w:p w14:paraId="52F637A3">
      <w:pPr>
        <w:numPr>
          <w:ilvl w:val="0"/>
          <w:numId w:val="0"/>
        </w:numPr>
        <w:spacing w:line="360" w:lineRule="auto"/>
        <w:ind w:left="420" w:hanging="480" w:hangingChars="200"/>
        <w:jc w:val="left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[1]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中华人民共和国住房和城乡建设部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GB 50500-2013 建设工程工程量清单计价规范[S]. 北京: 中国计划出版社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2013.</w:t>
      </w:r>
    </w:p>
    <w:p w14:paraId="715CC35E">
      <w:pPr>
        <w:numPr>
          <w:ilvl w:val="0"/>
          <w:numId w:val="0"/>
        </w:numPr>
        <w:spacing w:line="360" w:lineRule="auto"/>
        <w:ind w:left="420" w:hanging="480" w:hangingChars="200"/>
        <w:jc w:val="left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[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]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原电力工业部、黑龙江省建设委员会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GYD-202-2000 全国统一安装工程预算定额 第二册 电气设备安装工程[S]. 北京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中国计划出版社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2000.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3.工程造价管理基础  理论与相关法规</w:t>
      </w:r>
    </w:p>
    <w:p w14:paraId="78959C0A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[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]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王兆晶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电气工程识图与 CAD [M]. 北京：机械工业出版社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2016.</w:t>
      </w:r>
    </w:p>
    <w:p w14:paraId="0B936F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420" w:right="720" w:hanging="480" w:hangingChars="20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[5]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浙江省住房和城乡建设厅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GB 50303-2015 建筑电气工程施工质量验收规范 [S]. 北京：中国标准出版社,2015.</w:t>
      </w:r>
    </w:p>
    <w:p w14:paraId="115AD104">
      <w:pPr>
        <w:numPr>
          <w:ilvl w:val="0"/>
          <w:numId w:val="0"/>
        </w:numPr>
        <w:spacing w:line="360" w:lineRule="auto"/>
        <w:ind w:left="240" w:leftChars="0" w:firstLine="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4F88F68">
      <w:pPr>
        <w:numPr>
          <w:ilvl w:val="0"/>
          <w:numId w:val="0"/>
        </w:numPr>
        <w:spacing w:line="360" w:lineRule="auto"/>
        <w:ind w:left="240" w:leftChars="0"/>
        <w:jc w:val="center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致 谢</w:t>
      </w:r>
    </w:p>
    <w:p w14:paraId="74B3DA35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经过冬，走到夏。转眼大学生涯结束了。</w:t>
      </w:r>
      <w:r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在此，我首先要向我的导师致以最深的敬意。从论文选题到最终成稿，每当我遇到瓶颈时，您的点拨总能让我豁然开朗。您对工程数据一丝不苟的态度，尤其是那句‘每一个数字背后都是责任’的教诲，已深深烙印在我的职业信念中。感谢我的同学们，我们一起在造价实训课上算量，在考证路上相互督促。那些为了一个定额子目争论不休的日子，如今想来满是珍贵。感谢我的父母，你们默默承担了生活的压力，让我能安心求学。你们的信任是我不断前进的动力。未来，我会带着这份感恩，在工程造价的岗位上脚踏实地，用专业知识回馈社会。</w:t>
      </w:r>
    </w:p>
    <w:p w14:paraId="3E3D6562">
      <w:pPr>
        <w:spacing w:line="360" w:lineRule="auto"/>
        <w:ind w:firstLine="480" w:firstLineChars="200"/>
        <w:jc w:val="left"/>
        <w:rPr>
          <w:rStyle w:val="14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FD85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28CD1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28CD1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4A16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9778E3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9778E3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0A0CC">
    <w:pPr>
      <w:pStyle w:val="8"/>
      <w:jc w:val="center"/>
      <w:rPr>
        <w:rFonts w:hint="eastAsia" w:asciiTheme="majorEastAsia" w:hAnsiTheme="majorEastAsia" w:eastAsiaTheme="majorEastAsia" w:cstheme="majorEastAsia"/>
        <w:sz w:val="21"/>
        <w:szCs w:val="21"/>
        <w:highlight w:val="none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983DB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983DB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ajorEastAsia" w:hAnsiTheme="majorEastAsia" w:eastAsiaTheme="majorEastAsia" w:cstheme="majorEastAsia"/>
        <w:sz w:val="21"/>
        <w:szCs w:val="21"/>
        <w:highlight w:val="none"/>
      </w:rPr>
      <w:t>广东创新科技职业学院</w:t>
    </w:r>
    <w:r>
      <w:rPr>
        <w:rFonts w:hint="eastAsia" w:asciiTheme="majorEastAsia" w:hAnsiTheme="majorEastAsia" w:eastAsiaTheme="majorEastAsia" w:cstheme="majorEastAsia"/>
        <w:sz w:val="21"/>
        <w:szCs w:val="21"/>
        <w:highlight w:val="none"/>
        <w:lang w:val="en-US" w:eastAsia="zh-CN"/>
      </w:rPr>
      <w:t>2026</w:t>
    </w:r>
    <w:r>
      <w:rPr>
        <w:rFonts w:hint="eastAsia" w:asciiTheme="majorEastAsia" w:hAnsiTheme="majorEastAsia" w:eastAsiaTheme="majorEastAsia" w:cstheme="majorEastAsia"/>
        <w:sz w:val="21"/>
        <w:szCs w:val="21"/>
        <w:highlight w:val="none"/>
      </w:rPr>
      <w:t>届毕业设计（论文）</w:t>
    </w:r>
  </w:p>
  <w:p w14:paraId="4952A4E8">
    <w:pPr>
      <w:pStyle w:val="8"/>
      <w:jc w:val="both"/>
      <w:rPr>
        <w:rFonts w:hint="eastAsia" w:asciiTheme="majorEastAsia" w:hAnsiTheme="majorEastAsia" w:eastAsiaTheme="majorEastAsia" w:cstheme="majorEastAsia"/>
        <w:sz w:val="21"/>
        <w:szCs w:val="21"/>
        <w:highlight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A1D88"/>
    <w:rsid w:val="099A1D88"/>
    <w:rsid w:val="09FC4E8C"/>
    <w:rsid w:val="1293457D"/>
    <w:rsid w:val="1BF76A35"/>
    <w:rsid w:val="277C7760"/>
    <w:rsid w:val="336B6219"/>
    <w:rsid w:val="33823918"/>
    <w:rsid w:val="3D006466"/>
    <w:rsid w:val="3EAB32B2"/>
    <w:rsid w:val="42DB4178"/>
    <w:rsid w:val="45943BEF"/>
    <w:rsid w:val="469E420A"/>
    <w:rsid w:val="489D725F"/>
    <w:rsid w:val="52D62FD5"/>
    <w:rsid w:val="556B0543"/>
    <w:rsid w:val="63334363"/>
    <w:rsid w:val="636963DC"/>
    <w:rsid w:val="68784853"/>
    <w:rsid w:val="6AB71932"/>
    <w:rsid w:val="70ED1AD6"/>
    <w:rsid w:val="742E2F65"/>
    <w:rsid w:val="7BE354E5"/>
    <w:rsid w:val="7F8D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9"/>
    <w:basedOn w:val="1"/>
    <w:next w:val="1"/>
    <w:unhideWhenUsed/>
    <w:qFormat/>
    <w:uiPriority w:val="0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character" w:customStyle="1" w:styleId="16">
    <w:name w:val="标题 2 Char"/>
    <w:link w:val="3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目录"/>
    </customSectPr>
    <customSectPr>
      <sectNamePr val="前言"/>
    </customSectPr>
    <customSectPr>
      <sectNamePr val="第一章：工程概括"/>
    </customSectPr>
    <customSectPr>
      <sectNamePr val="第二章：电气工程重要性的主要体现"/>
    </customSectPr>
    <customSectPr>
      <sectNamePr val="第三章：编制步骤与流程"/>
    </customSectPr>
    <customSectPr>
      <sectNamePr val="结论"/>
    </customSectPr>
    <customSectPr>
      <sectNamePr val="附  录"/>
    </customSectPr>
    <customSectPr>
      <sectNamePr val="参考文献"/>
    </customSectPr>
    <customSectPr>
      <sectNamePr val="致谢"/>
    </customSectPr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3820</Words>
  <Characters>4030</Characters>
  <Lines>0</Lines>
  <Paragraphs>0</Paragraphs>
  <TotalTime>261</TotalTime>
  <ScaleCrop>false</ScaleCrop>
  <LinksUpToDate>false</LinksUpToDate>
  <CharactersWithSpaces>4102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2026-04-01T08:18:00Z</dcterms:created>
  <dc:creator>奶泡森的奶思</dc:creator>
  <cp:lastModifiedBy>东坡居士</cp:lastModifiedBy>
  <dcterms:modified xsi:type="dcterms:W3CDTF">2026-04-16T02:17:03Z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577ED197C40B48ED884E6200BCBF473F_13</vt:lpwstr>
  </property>
  <property fmtid="{D5CDD505-2E9C-101B-9397-08002B2CF9AE}" pid="4" name="KSOTemplateDocerSaveRecord">
    <vt:lpwstr>eyJoZGlkIjoiNTNiODI0Y2Q5NjYxYmU5OTBhMzg5ZmNiNDA1YzM2NjAiLCJ1c2VySWQiOiI0NTQ2MzgzMTYifQ==</vt:lpwstr>
  </property>
</Properties>
</file>